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s-ES"/>
        </w:rPr>
      </w:pPr>
      <w:r>
        <w:rPr>
          <w:lang w:val="es-ES"/>
        </w:rPr>
      </w:r>
    </w:p>
    <w:p>
      <w:pPr>
        <w:pStyle w:val="Normal"/>
        <w:numPr>
          <w:ilvl w:val="0"/>
          <w:numId w:val="0"/>
        </w:numPr>
        <w:ind w:left="0" w:hanging="0"/>
        <w:outlineLvl w:val="0"/>
        <w:rPr/>
      </w:pPr>
      <w:r>
        <w:rPr>
          <w:rStyle w:val="Strong"/>
          <w:rFonts w:ascii="Trebuchet MS" w:hAnsi="Trebuchet MS"/>
          <w:color w:val="00AFAA"/>
          <w:sz w:val="20"/>
          <w:lang w:val="es-ES"/>
        </w:rPr>
        <w:t>CATEGORÍA 13</w:t>
      </w:r>
    </w:p>
    <w:p>
      <w:pPr>
        <w:pStyle w:val="Head1"/>
        <w:numPr>
          <w:ilvl w:val="0"/>
          <w:numId w:val="0"/>
        </w:numPr>
        <w:ind w:left="0" w:hanging="0"/>
        <w:outlineLvl w:val="0"/>
        <w:rPr>
          <w:lang w:val="es-ES"/>
        </w:rPr>
      </w:pPr>
      <w:r>
        <w:rPr>
          <w:rFonts w:ascii="Trebuchet MS" w:hAnsi="Trebuchet MS"/>
          <w:b/>
          <w:color w:val="002B49"/>
          <w:sz w:val="54"/>
          <w:szCs w:val="54"/>
          <w:lang w:val="es-ES"/>
        </w:rPr>
        <w:t xml:space="preserve">Oferta de Tiendas Especializadas </w:t>
      </w:r>
    </w:p>
    <w:p>
      <w:pPr>
        <w:pStyle w:val="Head1"/>
        <w:numPr>
          <w:ilvl w:val="0"/>
          <w:numId w:val="0"/>
        </w:numPr>
        <w:ind w:left="0" w:hanging="0"/>
        <w:outlineLvl w:val="0"/>
        <w:rPr>
          <w:lang w:val="es-ES"/>
        </w:rPr>
      </w:pPr>
      <w:r>
        <w:rPr>
          <w:rFonts w:ascii="Trebuchet MS" w:hAnsi="Trebuchet MS"/>
          <w:b/>
          <w:color w:val="002B49"/>
          <w:sz w:val="54"/>
          <w:szCs w:val="54"/>
          <w:lang w:val="es-ES"/>
        </w:rPr>
        <w:t>de Menorca</w:t>
      </w:r>
    </w:p>
    <w:p>
      <w:pPr>
        <w:pStyle w:val="Normal"/>
        <w:rPr>
          <w:rFonts w:ascii="Trebuchet MS" w:hAnsi="Trebuchet MS"/>
          <w:lang w:val="es-ES"/>
        </w:rPr>
      </w:pPr>
      <w:r>
        <w:rPr>
          <w:rFonts w:ascii="Trebuchet MS" w:hAnsi="Trebuchet MS"/>
          <w:lang w:val="es-ES"/>
        </w:rPr>
      </w:r>
    </w:p>
    <w:tbl>
      <w:tblPr>
        <w:tblStyle w:val="Tablaconcuadrcula"/>
        <w:tblW w:w="10118" w:type="dxa"/>
        <w:jc w:val="left"/>
        <w:tblInd w:w="63" w:type="dxa"/>
        <w:tblLayout w:type="fixed"/>
        <w:tblCellMar>
          <w:top w:w="0" w:type="dxa"/>
          <w:left w:w="109" w:type="dxa"/>
          <w:bottom w:w="0" w:type="dxa"/>
          <w:right w:w="108" w:type="dxa"/>
        </w:tblCellMar>
        <w:tblLook w:val="04a0"/>
      </w:tblPr>
      <w:tblGrid>
        <w:gridCol w:w="5044"/>
        <w:gridCol w:w="38"/>
        <w:gridCol w:w="5035"/>
      </w:tblGrid>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0"/>
              <w:jc w:val="left"/>
              <w:rPr>
                <w:lang w:val="es-ES"/>
              </w:rPr>
            </w:pPr>
            <w:r>
              <w:rPr>
                <w:rFonts w:eastAsia=""/>
                <w:kern w:val="0"/>
                <w:szCs w:val="24"/>
                <w:lang w:val="es-ES" w:bidi="ar-SA"/>
              </w:rPr>
              <w:t>Nombre tienda especializada:</w:t>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0"/>
              <w:jc w:val="left"/>
              <w:rPr>
                <w:color w:val="17406D" w:themeColor="text2"/>
                <w:sz w:val="16"/>
                <w:szCs w:val="16"/>
                <w:lang w:val="es-ES"/>
              </w:rPr>
            </w:pPr>
            <w:r>
              <w:rPr>
                <w:color w:val="17406D" w:themeColor="text2"/>
                <w:sz w:val="16"/>
                <w:szCs w:val="16"/>
                <w:lang w:val="es-ES"/>
              </w:rPr>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0"/>
              <w:jc w:val="left"/>
              <w:rPr>
                <w:lang w:val="es-ES"/>
              </w:rPr>
            </w:pPr>
            <w:r>
              <w:rPr>
                <w:rFonts w:eastAsia=""/>
                <w:kern w:val="0"/>
                <w:szCs w:val="24"/>
                <w:lang w:val="es-ES" w:bidi="ar-SA"/>
              </w:rPr>
              <w:t>Dirección del establecimiento:</w:t>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0"/>
              <w:jc w:val="left"/>
              <w:rPr>
                <w:color w:val="17406D" w:themeColor="text2"/>
                <w:sz w:val="16"/>
                <w:szCs w:val="16"/>
                <w:lang w:val="es-ES"/>
              </w:rPr>
            </w:pPr>
            <w:r>
              <w:rPr>
                <w:color w:val="17406D" w:themeColor="text2"/>
                <w:sz w:val="16"/>
                <w:szCs w:val="16"/>
                <w:lang w:val="es-ES"/>
              </w:rPr>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0"/>
              <w:jc w:val="left"/>
              <w:rPr>
                <w:color w:val="17406D" w:themeColor="text2"/>
                <w:sz w:val="16"/>
                <w:szCs w:val="16"/>
                <w:lang w:val="es-ES"/>
              </w:rPr>
            </w:pPr>
            <w:r>
              <w:rPr>
                <w:color w:val="17406D" w:themeColor="text2"/>
                <w:sz w:val="16"/>
                <w:szCs w:val="16"/>
                <w:lang w:val="es-ES"/>
              </w:rPr>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0"/>
              <w:jc w:val="left"/>
              <w:rPr>
                <w:lang w:val="es-ES"/>
              </w:rPr>
            </w:pPr>
            <w:r>
              <w:rPr>
                <w:rFonts w:eastAsia=""/>
                <w:kern w:val="0"/>
                <w:szCs w:val="24"/>
                <w:lang w:val="es-ES" w:bidi="ar-SA"/>
              </w:rPr>
              <w:t>En caso de que sea una tienda en línea, web:</w:t>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0"/>
              <w:jc w:val="left"/>
              <w:rPr>
                <w:color w:val="17406D" w:themeColor="text2"/>
                <w:sz w:val="16"/>
                <w:szCs w:val="16"/>
                <w:lang w:val="es-ES"/>
              </w:rPr>
            </w:pPr>
            <w:r>
              <w:rPr>
                <w:color w:val="17406D" w:themeColor="text2"/>
                <w:sz w:val="16"/>
                <w:szCs w:val="16"/>
                <w:lang w:val="es-ES"/>
              </w:rPr>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F2F2F2" w:val="clear"/>
            <w:vAlign w:val="center"/>
          </w:tcPr>
          <w:p>
            <w:pPr>
              <w:pStyle w:val="02BoldTablee"/>
              <w:widowControl w:val="false"/>
              <w:suppressAutoHyphens w:val="true"/>
              <w:spacing w:before="80" w:after="0"/>
              <w:jc w:val="left"/>
              <w:rPr>
                <w:lang w:val="es-ES"/>
              </w:rPr>
            </w:pPr>
            <w:r>
              <w:rPr>
                <w:rFonts w:eastAsia=""/>
                <w:kern w:val="0"/>
                <w:szCs w:val="24"/>
                <w:lang w:val="es-ES" w:bidi="ar-SA"/>
              </w:rPr>
              <w:t>Representante:</w:t>
            </w:r>
          </w:p>
        </w:tc>
      </w:tr>
      <w:tr>
        <w:trPr>
          <w:trHeight w:val="432" w:hRule="atLeast"/>
          <w:cantSplit w:val="true"/>
        </w:trPr>
        <w:tc>
          <w:tcPr>
            <w:tcW w:w="10117"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0"/>
              <w:jc w:val="left"/>
              <w:rPr>
                <w:color w:val="17406D" w:themeColor="text2"/>
                <w:sz w:val="16"/>
                <w:szCs w:val="16"/>
                <w:lang w:val="es-ES"/>
              </w:rPr>
            </w:pPr>
            <w:r>
              <w:rPr>
                <w:color w:val="17406D" w:themeColor="text2"/>
                <w:sz w:val="16"/>
                <w:szCs w:val="16"/>
                <w:lang w:val="es-ES"/>
              </w:rPr>
            </w:r>
          </w:p>
        </w:tc>
      </w:tr>
      <w:tr>
        <w:trPr>
          <w:trHeight w:val="432" w:hRule="atLeast"/>
          <w:cantSplit w:val="true"/>
        </w:trPr>
        <w:tc>
          <w:tcPr>
            <w:tcW w:w="5082"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0"/>
              <w:jc w:val="left"/>
              <w:rPr>
                <w:lang w:val="es-ES"/>
              </w:rPr>
            </w:pPr>
            <w:r>
              <w:rPr>
                <w:rFonts w:eastAsia=""/>
                <w:kern w:val="0"/>
                <w:szCs w:val="24"/>
                <w:lang w:val="es-ES" w:bidi="ar-SA"/>
              </w:rPr>
              <w:t>Teléfono:</w:t>
            </w:r>
          </w:p>
        </w:tc>
        <w:tc>
          <w:tcPr>
            <w:tcW w:w="5035"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0"/>
              <w:jc w:val="left"/>
              <w:rPr>
                <w:lang w:val="es-ES"/>
              </w:rPr>
            </w:pPr>
            <w:r>
              <w:rPr>
                <w:rFonts w:eastAsia=""/>
                <w:kern w:val="0"/>
                <w:szCs w:val="24"/>
                <w:lang w:val="es-ES" w:bidi="ar-SA"/>
              </w:rPr>
              <w:t>Correo electrónico:</w:t>
            </w:r>
          </w:p>
        </w:tc>
      </w:tr>
      <w:tr>
        <w:trPr>
          <w:trHeight w:val="432" w:hRule="atLeast"/>
          <w:cantSplit w:val="true"/>
        </w:trPr>
        <w:tc>
          <w:tcPr>
            <w:tcW w:w="5082"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0"/>
              <w:jc w:val="left"/>
              <w:rPr>
                <w:color w:val="17406D" w:themeColor="text2"/>
                <w:sz w:val="16"/>
                <w:szCs w:val="16"/>
                <w:lang w:val="es-ES"/>
              </w:rPr>
            </w:pPr>
            <w:r>
              <w:rPr>
                <w:color w:val="17406D" w:themeColor="text2"/>
                <w:sz w:val="16"/>
                <w:szCs w:val="16"/>
                <w:lang w:val="es-ES"/>
              </w:rPr>
            </w:r>
          </w:p>
        </w:tc>
        <w:tc>
          <w:tcPr>
            <w:tcW w:w="5035"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0"/>
              <w:jc w:val="left"/>
              <w:rPr>
                <w:color w:val="17406D" w:themeColor="text2"/>
                <w:sz w:val="16"/>
                <w:szCs w:val="16"/>
                <w:lang w:val="es-ES"/>
              </w:rPr>
            </w:pPr>
            <w:r>
              <w:rPr>
                <w:color w:val="17406D" w:themeColor="text2"/>
                <w:sz w:val="16"/>
                <w:szCs w:val="16"/>
                <w:lang w:val="es-ES"/>
              </w:rPr>
            </w:r>
          </w:p>
        </w:tc>
      </w:tr>
      <w:tr>
        <w:trPr>
          <w:trHeight w:val="432" w:hRule="atLeast"/>
          <w:cantSplit w:val="true"/>
        </w:trPr>
        <w:tc>
          <w:tcPr>
            <w:tcW w:w="5044" w:type="dxa"/>
            <w:tcBorders>
              <w:top w:val="single" w:sz="2" w:space="0" w:color="D9D9D9"/>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lang w:val="es-ES"/>
              </w:rPr>
            </w:pPr>
            <w:r>
              <w:rPr>
                <w:rFonts w:eastAsia="" w:cs=""/>
                <w:color w:val="auto"/>
                <w:kern w:val="0"/>
                <w:sz w:val="18"/>
                <w:szCs w:val="18"/>
                <w:lang w:val="es-ES" w:eastAsia="en-US" w:bidi="ar-SA"/>
              </w:rPr>
              <w:t xml:space="preserve">Código Catastral </w:t>
            </w:r>
            <w:r>
              <w:rPr>
                <w:rFonts w:eastAsia="" w:cs=""/>
                <w:color w:val="auto"/>
                <w:kern w:val="0"/>
                <w:sz w:val="18"/>
                <w:szCs w:val="24"/>
                <w:lang w:val="es-ES" w:eastAsia="en-US" w:bidi="ar-SA"/>
              </w:rPr>
              <w:t>del establecimiento:</w:t>
            </w:r>
          </w:p>
        </w:tc>
        <w:tc>
          <w:tcPr>
            <w:tcW w:w="5073" w:type="dxa"/>
            <w:gridSpan w:val="2"/>
            <w:tcBorders>
              <w:top w:val="single" w:sz="2" w:space="0" w:color="D9D9D9"/>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rFonts w:ascii="Trebuchet MS" w:hAnsi="Trebuchet MS" w:eastAsia="" w:cs=""/>
                <w:color w:val="auto"/>
                <w:kern w:val="0"/>
                <w:sz w:val="18"/>
                <w:szCs w:val="18"/>
                <w:lang w:val="es-ES" w:eastAsia="en-US" w:bidi="ar-SA"/>
              </w:rPr>
            </w:pPr>
            <w:r>
              <w:rPr>
                <w:rFonts w:eastAsia="" w:cs=""/>
                <w:color w:val="auto"/>
                <w:kern w:val="0"/>
                <w:sz w:val="18"/>
                <w:szCs w:val="18"/>
                <w:lang w:val="es-ES" w:eastAsia="en-US" w:bidi="ar-SA"/>
              </w:rPr>
            </w:r>
          </w:p>
        </w:tc>
      </w:tr>
      <w:tr>
        <w:trPr>
          <w:trHeight w:val="432" w:hRule="atLeast"/>
          <w:cantSplit w:val="true"/>
        </w:trPr>
        <w:tc>
          <w:tcPr>
            <w:tcW w:w="5044" w:type="dxa"/>
            <w:tcBorders>
              <w:top w:val="nil"/>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color w:val="auto"/>
                <w:sz w:val="18"/>
                <w:szCs w:val="18"/>
                <w:lang w:val="es-ES"/>
              </w:rPr>
            </w:pPr>
            <w:r>
              <w:rPr>
                <w:color w:val="auto"/>
                <w:sz w:val="18"/>
                <w:szCs w:val="18"/>
                <w:lang w:val="es-ES"/>
              </w:rPr>
            </w:r>
          </w:p>
        </w:tc>
        <w:tc>
          <w:tcPr>
            <w:tcW w:w="5073" w:type="dxa"/>
            <w:gridSpan w:val="2"/>
            <w:tcBorders>
              <w:top w:val="nil"/>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ascii="Trebuchet MS" w:hAnsi="Trebuchet MS" w:eastAsia="" w:cs=""/>
                <w:color w:val="auto"/>
                <w:kern w:val="0"/>
                <w:sz w:val="18"/>
                <w:szCs w:val="18"/>
                <w:lang w:val="es-ES" w:eastAsia="en-US" w:bidi="ar-SA"/>
              </w:rPr>
            </w:pPr>
            <w:r>
              <w:rPr>
                <w:rFonts w:eastAsia="" w:cs=""/>
                <w:color w:val="auto"/>
                <w:kern w:val="0"/>
                <w:sz w:val="18"/>
                <w:szCs w:val="18"/>
                <w:lang w:val="es-ES" w:eastAsia="en-US" w:bidi="ar-SA"/>
              </w:rPr>
            </w:r>
          </w:p>
        </w:tc>
      </w:tr>
      <w:tr>
        <w:trPr>
          <w:trHeight w:val="432" w:hRule="atLeast"/>
          <w:cantSplit w:val="true"/>
        </w:trPr>
        <w:tc>
          <w:tcPr>
            <w:tcW w:w="5044" w:type="dxa"/>
            <w:tcBorders>
              <w:top w:val="nil"/>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lang w:val="es-ES"/>
              </w:rPr>
            </w:pPr>
            <w:r>
              <w:rPr>
                <w:rFonts w:eastAsia="" w:cs=""/>
                <w:color w:val="auto"/>
                <w:kern w:val="0"/>
                <w:sz w:val="18"/>
                <w:szCs w:val="18"/>
                <w:lang w:val="es-ES" w:eastAsia="en-US" w:bidi="ar-SA"/>
              </w:rPr>
              <w:t>Licencia Actividades:</w:t>
            </w:r>
          </w:p>
        </w:tc>
        <w:tc>
          <w:tcPr>
            <w:tcW w:w="5073" w:type="dxa"/>
            <w:gridSpan w:val="2"/>
            <w:tcBorders>
              <w:top w:val="nil"/>
              <w:left w:val="single" w:sz="2" w:space="0" w:color="D9D9D9"/>
              <w:bottom w:val="single" w:sz="2" w:space="0" w:color="D9D9D9"/>
              <w:right w:val="single" w:sz="2" w:space="0" w:color="D9D9D9"/>
            </w:tcBorders>
            <w:shd w:fill="EEEEEE" w:val="clear"/>
            <w:vAlign w:val="center"/>
          </w:tcPr>
          <w:p>
            <w:pPr>
              <w:pStyle w:val="02BoldTablee"/>
              <w:widowControl w:val="false"/>
              <w:suppressAutoHyphens w:val="true"/>
              <w:spacing w:before="80" w:after="80"/>
              <w:jc w:val="left"/>
              <w:rPr>
                <w:lang w:val="es-ES"/>
              </w:rPr>
            </w:pPr>
            <w:r>
              <w:rPr>
                <w:rFonts w:eastAsia="" w:cs=""/>
                <w:color w:val="auto"/>
                <w:kern w:val="0"/>
                <w:sz w:val="18"/>
                <w:szCs w:val="18"/>
                <w:lang w:val="es-ES" w:eastAsia="en-US" w:bidi="ar-SA"/>
              </w:rPr>
              <w:t>(indicar si se adjunta)</w:t>
            </w:r>
          </w:p>
        </w:tc>
      </w:tr>
    </w:tbl>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lang w:val="es-ES"/>
        </w:rPr>
      </w:pPr>
      <w:r>
        <w:rPr>
          <w:color w:val="002B49"/>
          <w:lang w:val="es-ES"/>
        </w:rPr>
        <w:br/>
      </w:r>
    </w:p>
    <w:tbl>
      <w:tblPr>
        <w:tblStyle w:val="Tablaconcuadrcula"/>
        <w:tblW w:w="10192" w:type="dxa"/>
        <w:jc w:val="left"/>
        <w:tblInd w:w="0" w:type="dxa"/>
        <w:tblLayout w:type="fixed"/>
        <w:tblCellMar>
          <w:top w:w="0" w:type="dxa"/>
          <w:left w:w="107"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0"/>
              <w:jc w:val="left"/>
              <w:rPr>
                <w:lang w:val="es-ES"/>
              </w:rPr>
            </w:pPr>
            <w:r>
              <w:rPr>
                <w:rFonts w:eastAsia=""/>
                <w:kern w:val="0"/>
                <w:szCs w:val="24"/>
                <w:lang w:val="es-E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0" w:after="0"/>
              <w:jc w:val="left"/>
              <w:rPr>
                <w:rFonts w:ascii="Trebuchet MS" w:hAnsi="Trebuchet MS"/>
                <w:color w:val="595959" w:themeColor="text1" w:themeTint="a6"/>
                <w:sz w:val="18"/>
                <w:szCs w:val="18"/>
                <w:lang w:val="es-ES"/>
              </w:rPr>
            </w:pPr>
            <w:r>
              <w:rPr>
                <w:rFonts w:ascii="Trebuchet MS" w:hAnsi="Trebuchet MS"/>
                <w:color w:val="595959" w:themeColor="text1" w:themeTint="a6"/>
                <w:sz w:val="18"/>
                <w:szCs w:val="18"/>
                <w:lang w:val="es-ES"/>
              </w:rPr>
            </w:r>
          </w:p>
          <w:p>
            <w:pPr>
              <w:pStyle w:val="Normal"/>
              <w:widowControl w:val="false"/>
              <w:suppressAutoHyphens w:val="true"/>
              <w:spacing w:lineRule="auto" w:line="276" w:before="0" w:after="0"/>
              <w:jc w:val="left"/>
              <w:rPr>
                <w:rFonts w:ascii="Trebuchet MS" w:hAnsi="Trebuchet MS"/>
                <w:color w:val="595959" w:themeColor="text1" w:themeTint="a6"/>
                <w:sz w:val="18"/>
                <w:szCs w:val="18"/>
                <w:lang w:val="es-ES"/>
              </w:rPr>
            </w:pPr>
            <w:r>
              <w:rPr>
                <w:rFonts w:ascii="Trebuchet MS" w:hAnsi="Trebuchet MS"/>
                <w:color w:val="595959" w:themeColor="text1" w:themeTint="a6"/>
                <w:sz w:val="18"/>
                <w:szCs w:val="18"/>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el uso de la marca y logotipo </w:t>
      </w:r>
      <w:r>
        <w:rPr>
          <w:b/>
          <w:color w:val="00AFAA"/>
          <w:lang w:val="es-ES"/>
        </w:rPr>
        <w:t>“Menorca Reserva de Biosfera”</w:t>
      </w:r>
      <w:r>
        <w:rPr>
          <w:lang w:val="es-ES"/>
        </w:rPr>
        <w:t xml:space="preserve">, la tienda especializada debe cumplir con los siguientes </w:t>
      </w:r>
      <w:r>
        <w:rPr>
          <w:b/>
          <w:lang w:val="es-ES"/>
        </w:rPr>
        <w:t>9 requisitos obligatorios:</w:t>
      </w:r>
    </w:p>
    <w:p>
      <w:pPr>
        <w:pStyle w:val="10Regular"/>
        <w:rPr>
          <w:lang w:val="es-ES"/>
        </w:rPr>
      </w:pPr>
      <w:r>
        <w:rPr>
          <w:lang w:val="es-ES"/>
        </w:rPr>
      </w:r>
    </w:p>
    <w:p>
      <w:pPr>
        <w:pStyle w:val="10Regular"/>
        <w:rPr>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1"/>
        <w:gridCol w:w="3539"/>
        <w:gridCol w:w="3550"/>
      </w:tblGrid>
      <w:tr>
        <w:trPr>
          <w:trHeight w:val="571" w:hRule="atLeast"/>
          <w:cantSplit w:val="true"/>
        </w:trPr>
        <w:tc>
          <w:tcPr>
            <w:tcW w:w="10080" w:type="dxa"/>
            <w:gridSpan w:val="3"/>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Standard"/>
              <w:widowControl w:val="false"/>
              <w:spacing w:before="0" w:after="0"/>
              <w:jc w:val="left"/>
              <w:rPr>
                <w:lang w:val="es-ES"/>
              </w:rPr>
            </w:pPr>
            <w:r>
              <w:rPr>
                <w:rFonts w:cs="Times New Roman" w:ascii="Trebuchet MS" w:hAnsi="Trebuchet MS"/>
                <w:b/>
                <w:color w:val="FFFFFF" w:themeColor="background1"/>
                <w:sz w:val="19"/>
                <w:szCs w:val="18"/>
                <w:lang w:val="es-ES" w:eastAsia="zh-TW"/>
              </w:rPr>
              <w:t>C2 / Los productos disponibles para la venta deben ser como mínimo un 80 % de producción local</w:t>
            </w:r>
          </w:p>
        </w:tc>
      </w:tr>
      <w:tr>
        <w:trPr>
          <w:trHeight w:val="503" w:hRule="atLeast"/>
          <w:cantSplit w:val="true"/>
        </w:trPr>
        <w:tc>
          <w:tcPr>
            <w:tcW w:w="2991"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9"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Los productos ofrecidos en la tienda especializada deben ser en una amplia mayoría de producción local (mínimo un 80 %)</w:t>
            </w:r>
          </w:p>
        </w:tc>
      </w:tr>
      <w:tr>
        <w:trPr>
          <w:trHeight w:val="503" w:hRule="atLeast"/>
          <w:cantSplit w:val="true"/>
        </w:trPr>
        <w:tc>
          <w:tcPr>
            <w:tcW w:w="2991"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Justificación</w:t>
            </w:r>
          </w:p>
        </w:tc>
        <w:tc>
          <w:tcPr>
            <w:tcW w:w="7089"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Lista de los productos de producción local disponibles para la venta en la tienda especializada.</w:t>
            </w:r>
          </w:p>
          <w:p>
            <w:pPr>
              <w:pStyle w:val="03Tableregular"/>
              <w:widowControl w:val="false"/>
              <w:suppressAutoHyphens w:val="true"/>
              <w:spacing w:before="320" w:after="320"/>
              <w:jc w:val="left"/>
              <w:rPr>
                <w:lang w:val="es-ES"/>
              </w:rPr>
            </w:pPr>
            <w:r>
              <w:rPr>
                <w:rFonts w:eastAsia=""/>
                <w:kern w:val="0"/>
                <w:szCs w:val="24"/>
                <w:lang w:val="es-ES" w:bidi="ar-SA"/>
              </w:rPr>
              <w:t>También se debe indicar el porcentaje de producción local que ofrece la tienda.</w:t>
            </w:r>
          </w:p>
        </w:tc>
      </w:tr>
      <w:tr>
        <w:trPr>
          <w:trHeight w:val="503" w:hRule="atLeast"/>
          <w:cantSplit w:val="true"/>
        </w:trPr>
        <w:tc>
          <w:tcPr>
            <w:tcW w:w="2991"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353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1:</w:t>
            </w:r>
          </w:p>
        </w:tc>
        <w:tc>
          <w:tcPr>
            <w:tcW w:w="355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6:</w:t>
            </w:r>
          </w:p>
        </w:tc>
      </w:tr>
      <w:tr>
        <w:trPr>
          <w:trHeight w:val="503" w:hRule="atLeast"/>
          <w:cantSplit w:val="true"/>
        </w:trPr>
        <w:tc>
          <w:tcPr>
            <w:tcW w:w="2991"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353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2:</w:t>
            </w:r>
          </w:p>
        </w:tc>
        <w:tc>
          <w:tcPr>
            <w:tcW w:w="355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7:</w:t>
            </w:r>
          </w:p>
        </w:tc>
      </w:tr>
      <w:tr>
        <w:trPr>
          <w:trHeight w:val="503" w:hRule="atLeast"/>
          <w:cantSplit w:val="true"/>
        </w:trPr>
        <w:tc>
          <w:tcPr>
            <w:tcW w:w="2991"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353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3:</w:t>
            </w:r>
          </w:p>
        </w:tc>
        <w:tc>
          <w:tcPr>
            <w:tcW w:w="355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8:</w:t>
            </w:r>
          </w:p>
        </w:tc>
      </w:tr>
      <w:tr>
        <w:trPr>
          <w:trHeight w:val="503" w:hRule="atLeast"/>
          <w:cantSplit w:val="true"/>
        </w:trPr>
        <w:tc>
          <w:tcPr>
            <w:tcW w:w="2991"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353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4:</w:t>
            </w:r>
          </w:p>
        </w:tc>
        <w:tc>
          <w:tcPr>
            <w:tcW w:w="355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9:</w:t>
            </w:r>
          </w:p>
        </w:tc>
      </w:tr>
      <w:tr>
        <w:trPr>
          <w:trHeight w:val="503" w:hRule="atLeast"/>
          <w:cantSplit w:val="true"/>
        </w:trPr>
        <w:tc>
          <w:tcPr>
            <w:tcW w:w="2991"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353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5:</w:t>
            </w:r>
          </w:p>
        </w:tc>
        <w:tc>
          <w:tcPr>
            <w:tcW w:w="355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 w:val="18"/>
                <w:szCs w:val="18"/>
                <w:lang w:val="es-ES" w:bidi="ar-SA"/>
              </w:rPr>
              <w:t>Producto 10:</w:t>
            </w:r>
          </w:p>
        </w:tc>
      </w:tr>
      <w:tr>
        <w:trPr>
          <w:trHeight w:val="503" w:hRule="atLeast"/>
          <w:cantSplit w:val="true"/>
        </w:trPr>
        <w:tc>
          <w:tcPr>
            <w:tcW w:w="2991"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9"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color w:val="808080"/>
                <w:kern w:val="0"/>
                <w:sz w:val="18"/>
                <w:szCs w:val="18"/>
                <w:lang w:val="es-ES" w:bidi="ar-SA"/>
              </w:rPr>
              <w:t>Porcentaje de producción local ofrecido en la tienda: _____%</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E/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120" w:type="dxa"/>
        <w:jc w:val="left"/>
        <w:tblInd w:w="52" w:type="dxa"/>
        <w:tblLayout w:type="fixed"/>
        <w:tblCellMar>
          <w:top w:w="0" w:type="dxa"/>
          <w:left w:w="107"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E3 / Realiza seguimiento sobre el consumo de energía y agua (electricidad, gas, gasoil...)</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Es necesario indicar el seguimiento del consumo de energía y agua de la tienda especializada de todo el último año.</w:t>
            </w:r>
          </w:p>
          <w:p>
            <w:pPr>
              <w:pStyle w:val="03Tableregular"/>
              <w:widowControl w:val="false"/>
              <w:suppressAutoHyphens w:val="true"/>
              <w:spacing w:before="320" w:after="320"/>
              <w:jc w:val="left"/>
              <w:rPr>
                <w:lang w:val="es-ES"/>
              </w:rPr>
            </w:pPr>
            <w:r>
              <w:rPr>
                <w:lang w:val="es-ES"/>
              </w:rPr>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documento de seguimiento del consumo de energía y agua de la tienda especializada de todo el último año.</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12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52"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E4 / Tiene una política de compras verdes (equipos, materiales y/o productos). Prioriza materiales reciclados, reutilizables y/o reciclables</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debe disponer de una política de compras verdes en la que indica el proceso de compras que utiliza y da prioridad a la adquisición de materiales reciclados, reutilizables y/o reciclados.</w:t>
            </w:r>
          </w:p>
        </w:tc>
      </w:tr>
      <w:tr>
        <w:trPr>
          <w:trHeight w:val="1016" w:hRule="atLeast"/>
          <w:cantSplit w:val="true"/>
        </w:trPr>
        <w:tc>
          <w:tcPr>
            <w:tcW w:w="301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10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documento de política de compras verdes que sigue la tienda especializada.</w:t>
            </w:r>
          </w:p>
        </w:tc>
      </w:tr>
      <w:tr>
        <w:trPr>
          <w:trHeight w:val="557"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RELLENAR LOS 4 REQUISITOS SIGUIENTES ÚNICAMENTE SI LA TIENDA DISPONE DE ESTABLECIMIENTO FÍSICO. SI NO, PASAR A LA PREGUNTA F10 (REQUISITOS RECOMENDABLES)</w:t>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3000"/>
        <w:gridCol w:w="7079"/>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E5 / Adopta medidas para el ahorro de energía: luces de bajo consumo, instalación de interruptores temporizados en zonas de paso, células de iluminación automática, aparatos eléctricos de alta eficiencia (refrigeradords, aire acondicionado...), al menos con etiqueta energética A +</w:t>
            </w:r>
          </w:p>
        </w:tc>
      </w:tr>
      <w:tr>
        <w:trPr>
          <w:trHeight w:val="737" w:hRule="atLeast"/>
          <w:cantSplit w:val="true"/>
        </w:trPr>
        <w:tc>
          <w:tcPr>
            <w:tcW w:w="300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7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debe adoptar medidas para el ahorro de energía.</w:t>
            </w:r>
          </w:p>
        </w:tc>
      </w:tr>
      <w:tr>
        <w:trPr>
          <w:trHeight w:val="503" w:hRule="atLeast"/>
          <w:cantSplit w:val="true"/>
        </w:trPr>
        <w:tc>
          <w:tcPr>
            <w:tcW w:w="3000"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7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listado de medidas para el ahorro de energía.</w:t>
            </w:r>
          </w:p>
        </w:tc>
      </w:tr>
      <w:tr>
        <w:trPr>
          <w:trHeight w:val="503"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79"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Medida 1</w:t>
            </w:r>
          </w:p>
        </w:tc>
      </w:tr>
      <w:tr>
        <w:trPr>
          <w:trHeight w:val="503"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79"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Medida 2</w:t>
            </w:r>
          </w:p>
        </w:tc>
      </w:tr>
      <w:tr>
        <w:trPr>
          <w:trHeight w:val="503"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79"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w:t>
            </w:r>
          </w:p>
        </w:tc>
      </w:tr>
    </w:tbl>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52" w:type="dxa"/>
        <w:tblLayout w:type="fixed"/>
        <w:tblCellMar>
          <w:top w:w="0" w:type="dxa"/>
          <w:left w:w="107"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E6 / Dispone de protocolos preventivos para detectar y solucionar errores en el funcionamiento de las instalaciones (agua, luz, climatización...)</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debe disponer de un protocolo para detectar y solucionar errores en el funcionamiento de las instalaciones (agua, luz, climatización...)</w:t>
            </w:r>
          </w:p>
        </w:tc>
      </w:tr>
      <w:tr>
        <w:trPr>
          <w:trHeight w:val="1016" w:hRule="atLeast"/>
          <w:cantSplit w:val="true"/>
        </w:trPr>
        <w:tc>
          <w:tcPr>
            <w:tcW w:w="301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10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Es necesario adjuntar protocolo preventivo de errores en el funcionamiento del cual dispone la tienda especializada.</w:t>
            </w:r>
          </w:p>
        </w:tc>
      </w:tr>
      <w:tr>
        <w:trPr>
          <w:trHeight w:val="485" w:hRule="atLeast"/>
          <w:cantSplit w:val="true"/>
        </w:trPr>
        <w:tc>
          <w:tcPr>
            <w:tcW w:w="301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10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3000"/>
        <w:gridCol w:w="7079"/>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E7 / Dispone de dispositivos de ahorro de agua: grifos monomando, filtros de aire, cisternas de doble descarga o descarga interrumpida, etc.</w:t>
            </w:r>
          </w:p>
        </w:tc>
      </w:tr>
      <w:tr>
        <w:trPr>
          <w:trHeight w:val="503" w:hRule="atLeast"/>
          <w:cantSplit w:val="true"/>
        </w:trPr>
        <w:tc>
          <w:tcPr>
            <w:tcW w:w="300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7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debe disponer de dispositivos de ahorro de agua.</w:t>
            </w:r>
          </w:p>
        </w:tc>
      </w:tr>
      <w:tr>
        <w:trPr>
          <w:trHeight w:val="503" w:hRule="atLeast"/>
          <w:cantSplit w:val="true"/>
        </w:trPr>
        <w:tc>
          <w:tcPr>
            <w:tcW w:w="3000"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7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Es necesario adjuntar la lista de medidas tomadas por la tienda especializada para ahorrar agua.</w:t>
            </w:r>
          </w:p>
        </w:tc>
      </w:tr>
      <w:tr>
        <w:trPr>
          <w:trHeight w:val="503"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79"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Medida 1</w:t>
            </w:r>
          </w:p>
        </w:tc>
      </w:tr>
      <w:tr>
        <w:trPr>
          <w:trHeight w:val="503"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79"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Medida 2</w:t>
            </w:r>
          </w:p>
        </w:tc>
      </w:tr>
      <w:tr>
        <w:trPr>
          <w:trHeight w:val="503"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79"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w:t>
            </w:r>
          </w:p>
        </w:tc>
      </w:tr>
    </w:tbl>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120" w:type="dxa"/>
        <w:jc w:val="left"/>
        <w:tblInd w:w="52" w:type="dxa"/>
        <w:tblLayout w:type="fixed"/>
        <w:tblCellMar>
          <w:top w:w="0" w:type="dxa"/>
          <w:left w:w="107"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E8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debe disponer de contenedores de recogida selectiva y encargarse de su adecuado tratamiento posterior.</w:t>
            </w:r>
          </w:p>
        </w:tc>
      </w:tr>
      <w:tr>
        <w:trPr>
          <w:trHeight w:val="503" w:hRule="atLeast"/>
          <w:cantSplit w:val="true"/>
        </w:trPr>
        <w:tc>
          <w:tcPr>
            <w:tcW w:w="2999"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Justificación</w:t>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fotografías justificativas de los contenedores de reciclaje de residuos.</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Información adicional</w:t>
            </w:r>
          </w:p>
        </w:tc>
        <w:tc>
          <w:tcPr>
            <w:tcW w:w="712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10Regular"/>
        <w:rPr>
          <w:lang w:val="es-ES"/>
        </w:rPr>
      </w:pPr>
      <w:r>
        <w:rPr>
          <w:lang w:val="es-ES"/>
        </w:rPr>
      </w:r>
    </w:p>
    <w:p>
      <w:pPr>
        <w:pStyle w:val="10Regular"/>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E9 / Dispone de información en catalán en la página web y en los folletos informativos.</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cs=""/>
                <w:kern w:val="0"/>
                <w:szCs w:val="24"/>
                <w:lang w:val="es-ES" w:eastAsia="en-U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 xml:space="preserve">La </w:t>
            </w:r>
            <w:r>
              <w:rPr>
                <w:rFonts w:eastAsia="" w:cs=""/>
                <w:kern w:val="0"/>
                <w:szCs w:val="24"/>
                <w:lang w:val="es-ES" w:eastAsia="en-US" w:bidi="ar-SA"/>
              </w:rPr>
              <w:t>tienda especializada</w:t>
            </w:r>
            <w:r>
              <w:rPr>
                <w:rFonts w:eastAsia="" w:cs=""/>
                <w:kern w:val="0"/>
                <w:lang w:val="es-ES" w:eastAsia="en-US" w:bidi="ar-SA"/>
              </w:rPr>
              <w:t xml:space="preserve"> ofrece información de su actividad en catalán.</w:t>
            </w:r>
          </w:p>
        </w:tc>
      </w:tr>
      <w:tr>
        <w:trPr>
          <w:trHeight w:val="584"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cs=""/>
                <w:kern w:val="0"/>
                <w:szCs w:val="24"/>
                <w:lang w:val="es-ES" w:eastAsia="en-US" w:bidi="ar-SA"/>
              </w:rPr>
              <w:t>Compromiso para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cs=""/>
                <w:kern w:val="0"/>
                <w:szCs w:val="24"/>
                <w:lang w:val="es-ES" w:eastAsia="en-US" w:bidi="ar-SA"/>
              </w:rPr>
              <w:t>Marcar con una X esta casilla si asume el compromiso.</w:t>
            </w:r>
          </w:p>
        </w:tc>
      </w:tr>
      <w:tr>
        <w:trPr>
          <w:trHeight w:val="1403" w:hRule="atLeast"/>
          <w:cantSplit w:val="true"/>
        </w:trPr>
        <w:tc>
          <w:tcPr>
            <w:tcW w:w="2997"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copia del material o indicar el enlace al portal informativo</w:t>
            </w:r>
          </w:p>
        </w:tc>
      </w:tr>
      <w:tr>
        <w:trPr>
          <w:trHeight w:val="710" w:hRule="atLeast"/>
          <w:cantSplit w:val="true"/>
        </w:trPr>
        <w:tc>
          <w:tcPr>
            <w:tcW w:w="2997"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r>
        <w:trPr>
          <w:trHeight w:val="61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cs=""/>
                <w:kern w:val="0"/>
                <w:szCs w:val="24"/>
                <w:lang w:val="es-ES" w:eastAsia="en-US" w:bidi="ar-SA"/>
              </w:rPr>
              <w:t>Indicar aquí si se adjunta como anexo.</w:t>
            </w:r>
          </w:p>
        </w:tc>
      </w:tr>
    </w:tbl>
    <w:p>
      <w:pPr>
        <w:pStyle w:val="Normal"/>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la tienda especializada debe cumplir 3 de los requisitos recomendables, además de comprometerse como mínimo a llegar a cumplir hasta 7 del total de requisitos recomendables durante los 3 próximos años .</w:t>
      </w:r>
    </w:p>
    <w:p>
      <w:pPr>
        <w:pStyle w:val="Standard"/>
        <w:rPr>
          <w:sz w:val="26"/>
          <w:szCs w:val="26"/>
          <w:lang w:val="es-ES"/>
        </w:rPr>
      </w:pPr>
      <w:r>
        <w:rPr>
          <w:sz w:val="26"/>
          <w:szCs w:val="26"/>
          <w:lang w:val="es-ES"/>
        </w:rPr>
      </w:r>
    </w:p>
    <w:p>
      <w:pPr>
        <w:pStyle w:val="Normal"/>
        <w:rPr>
          <w:rFonts w:ascii="Trebuchet MS" w:hAnsi="Trebuchet MS"/>
          <w:b/>
          <w:color w:val="002B49"/>
          <w:sz w:val="40"/>
          <w:szCs w:val="40"/>
          <w:lang w:val="es-ES"/>
        </w:rPr>
      </w:pPr>
      <w:r>
        <w:rPr>
          <w:rFonts w:ascii="Trebuchet MS" w:hAnsi="Trebuchet MS"/>
          <w:b/>
          <w:color w:val="002B49"/>
          <w:sz w:val="40"/>
          <w:szCs w:val="40"/>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F / Sistemas de calidad ambiental</w:t>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F10 / Contar con una o diversas certificaciones de calidad/medioambientales (Q-Qualitat Turística, Travel Life, ISO 9001, ISO 14001, EMAS) o estar en clubs de producto que incorporen requisitos de calidad y/o ambientales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si la tienda especializada tiene una o diversas certificaciones de calidad/medioambientales. Les tiendas especializadas que dispongan de certificación ISO 14001 y/o EMAS obtienen directamente el derecho de adhesión de la marca mientras que el certificado esté vigente, y siempre que cumplan los requisitos C y D, y los compromisos de adhesión a la marca MRB.</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copia de los certificados concedidos a la tienda especializada y que siguen en vigor actualmente.</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6Subtitles"/>
        <w:rPr>
          <w:lang w:val="es-ES"/>
        </w:rPr>
      </w:pPr>
      <w:r>
        <w:rPr/>
      </w:r>
    </w:p>
    <w:p>
      <w:pPr>
        <w:pStyle w:val="06Subtitles"/>
        <w:rPr>
          <w:lang w:val="es-ES"/>
        </w:rPr>
      </w:pPr>
      <w:r>
        <w:rPr>
          <w:lang w:val="es-ES"/>
        </w:rPr>
        <w:t>G / Accesibilidad sostenible (en caso de disponer de estacionamiento propio) y movilidad sostenible</w:t>
      </w:r>
    </w:p>
    <w:p>
      <w:pPr>
        <w:pStyle w:val="10Regular"/>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sz w:val="20"/>
                <w:szCs w:val="20"/>
                <w:lang w:val="es-ES" w:bidi="ar-SA"/>
              </w:rPr>
              <w:t>G11 / Dispone de aparcamiento para bicicletas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Si la tienda especializada dispone de estacionamiento propio para el público</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fotografías justificativas del aparcamiento para bicicletas disponible en la tienda especializada de la propiedad</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2"/>
        <w:gridCol w:w="7079"/>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G12 / Dispone al menos de un punto de carga para vehículos eléctricos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Si la tienda especializada dispone de estacionamiento propio para el público visitante, debe disponer al menos de un punto de carga para vehículos eléctricos.</w:t>
            </w:r>
          </w:p>
        </w:tc>
      </w:tr>
      <w:tr>
        <w:trPr>
          <w:trHeight w:val="665" w:hRule="atLeast"/>
          <w:cantSplit w:val="true"/>
        </w:trPr>
        <w:tc>
          <w:tcPr>
            <w:tcW w:w="3000"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7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fotografías justificativas del punto de carga para vehículos eléctricos.</w:t>
            </w:r>
          </w:p>
        </w:tc>
      </w:tr>
      <w:tr>
        <w:trPr>
          <w:trHeight w:val="62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H / Mejoras en comportamiento ambiental / Gestión ambiental</w:t>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868"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H13 / Utiliza sistemas de alta eficiencia energética y/o generación renovable en la climatización y la generación de agua caliente (energía solar fotovoltaica, solar térmica, biomasa, aerotermia, eólica, geotermia,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debe disponer de sistemas de alta eficiencia energética y/o generación renovable destinada a la climatización y la generación de agua caliente.</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listado de sistemas de alta eficiencia energética y/o generación renovable de que dispone la tienda especializada.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RELLENAR LOS 6 REQUISITOS SIGUIENTES UNICAMENTE SI LA TIENDA DISPONE DE ESTABLECIMIENTO FÍSICO. SI NO, PASAR A LA PREGUNTA I20</w:t>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H14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debe tomar medidas para la reducción de la contaminación lumínica en las instalaciones.</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listado de medidas para reducir la contaminación lumínica de la tienda especializada.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Medida 2</w:t>
            </w:r>
          </w:p>
        </w:tc>
      </w:tr>
      <w:tr>
        <w:trPr>
          <w:trHeight w:val="476"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w:t>
            </w:r>
          </w:p>
        </w:tc>
      </w:tr>
    </w:tbl>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2"/>
        <w:gridCol w:w="7079"/>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H15 / En el caso de establecimientos aislados, se dispone de un dispositivo para el almacenamiento de agua de lluvia y su posterior reutilización.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Si la tienda especializada no está conectada al sistema de aguas municipal, debe disponer de un dispositivo para almacenar el agua de lluvia y su posterior aprovechamiento.</w:t>
            </w:r>
          </w:p>
        </w:tc>
      </w:tr>
      <w:tr>
        <w:trPr>
          <w:trHeight w:val="710" w:hRule="atLeast"/>
          <w:cantSplit w:val="true"/>
        </w:trPr>
        <w:tc>
          <w:tcPr>
            <w:tcW w:w="3000"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7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Es necesario adjuntar fotografías justificativas del sistema de almacenamiento de lluvia.</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20"/>
        <w:gridCol w:w="7159"/>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H16 / Si dispone de jardín en el establecimiento, utiliza especies autóctonas y aplica medidas para reducir el consumo de agua: sistemas de riego de bajo consumo (goteo, exudación, etc.), temporizadores, lapilli, etc.</w:t>
            </w:r>
          </w:p>
        </w:tc>
      </w:tr>
      <w:tr>
        <w:trPr>
          <w:trHeight w:val="1151" w:hRule="atLeast"/>
          <w:cantSplit w:val="true"/>
        </w:trPr>
        <w:tc>
          <w:tcPr>
            <w:tcW w:w="292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15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Si la tienda especializada dispone de jardín en la propiedad, utiliza especies autóctonas y aplica medidas para reducir el consumo de agua.</w:t>
            </w:r>
          </w:p>
        </w:tc>
      </w:tr>
      <w:tr>
        <w:trPr>
          <w:trHeight w:val="710" w:hRule="atLeast"/>
          <w:cantSplit w:val="true"/>
        </w:trPr>
        <w:tc>
          <w:tcPr>
            <w:tcW w:w="292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15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20"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159"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Es necesario adjuntar fotografías justificativas del jardín y la medida que se toma para reducir el consumo de agua para regar.</w:t>
            </w:r>
          </w:p>
        </w:tc>
      </w:tr>
      <w:tr>
        <w:trPr>
          <w:trHeight w:val="575" w:hRule="atLeast"/>
          <w:cantSplit w:val="true"/>
        </w:trPr>
        <w:tc>
          <w:tcPr>
            <w:tcW w:w="292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15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Cuerpodetexto"/>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2"/>
        <w:gridCol w:w="7079"/>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H17 / Tiene una política de reducción de papel utilizando soportes electrónicos (envío confirmación y facturas por correo electrónico...)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dispone de una política que sigue para la reducción de utilización de papel en sus procesos habituales.</w:t>
            </w:r>
          </w:p>
        </w:tc>
      </w:tr>
      <w:tr>
        <w:trPr>
          <w:trHeight w:val="710" w:hRule="atLeast"/>
          <w:cantSplit w:val="true"/>
        </w:trPr>
        <w:tc>
          <w:tcPr>
            <w:tcW w:w="3000"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7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Adjuntar política de reducción de papel.</w:t>
            </w:r>
          </w:p>
        </w:tc>
      </w:tr>
      <w:tr>
        <w:trPr>
          <w:trHeight w:val="66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H18 / Utiliza productos de limpieza biodegradables/ecológicas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prioriza la utilización de productos de limpieza biodegradables/ecológicos.</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0"/>
              <w:jc w:val="left"/>
              <w:rPr>
                <w:lang w:val="es-ES"/>
              </w:rPr>
            </w:pPr>
            <w:r>
              <w:rPr>
                <w:rFonts w:eastAsia=""/>
                <w:kern w:val="0"/>
                <w:szCs w:val="24"/>
                <w:lang w:val="es-E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20"/>
        <w:gridCol w:w="7159"/>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H19 / Utiliza sistema de depuración adecuado o está conectado a la red de saneamiento municipal</w:t>
            </w:r>
          </w:p>
        </w:tc>
      </w:tr>
      <w:tr>
        <w:trPr>
          <w:trHeight w:val="1151" w:hRule="atLeast"/>
          <w:cantSplit w:val="true"/>
        </w:trPr>
        <w:tc>
          <w:tcPr>
            <w:tcW w:w="292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15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gestiona adecuadamente su saneamiento, de manera individualizada o conectada a la red de saneamiento municipal.</w:t>
            </w:r>
          </w:p>
        </w:tc>
      </w:tr>
      <w:tr>
        <w:trPr>
          <w:trHeight w:val="710" w:hRule="atLeast"/>
          <w:cantSplit w:val="true"/>
        </w:trPr>
        <w:tc>
          <w:tcPr>
            <w:tcW w:w="292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15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20"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159"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Explicar sistema de depuración que se utiliza e ilustrarlo con fotografía justificativa. En caso de estar conectados al saneamiento municipal, indicar a cual.</w:t>
            </w:r>
          </w:p>
        </w:tc>
      </w:tr>
      <w:tr>
        <w:trPr>
          <w:trHeight w:val="710" w:hRule="atLeast"/>
          <w:cantSplit w:val="true"/>
        </w:trPr>
        <w:tc>
          <w:tcPr>
            <w:tcW w:w="2920"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0"/>
              <w:jc w:val="left"/>
              <w:rPr>
                <w:szCs w:val="18"/>
                <w:lang w:val="es-ES"/>
              </w:rPr>
            </w:pPr>
            <w:r>
              <w:rPr>
                <w:szCs w:val="18"/>
                <w:lang w:val="es-ES"/>
              </w:rPr>
            </w:r>
          </w:p>
        </w:tc>
        <w:tc>
          <w:tcPr>
            <w:tcW w:w="7159" w:type="dxa"/>
            <w:tcBorders>
              <w:top w:val="single" w:sz="4" w:space="0" w:color="D9D9D9"/>
              <w:left w:val="single" w:sz="4" w:space="0" w:color="D9D9D9"/>
              <w:bottom w:val="single" w:sz="4" w:space="0" w:color="D9D9D9"/>
              <w:right w:val="single" w:sz="2" w:space="0" w:color="D9D9D9"/>
            </w:tcBorders>
            <w:shd w:color="auto" w:fill="auto" w:val="clear"/>
            <w:vAlign w:val="center"/>
          </w:tcPr>
          <w:p>
            <w:pPr>
              <w:pStyle w:val="04Openfields"/>
              <w:widowControl w:val="false"/>
              <w:suppressAutoHyphens w:val="true"/>
              <w:spacing w:before="80" w:after="0"/>
              <w:jc w:val="left"/>
              <w:rPr>
                <w:lang w:val="es-ES"/>
              </w:rPr>
            </w:pPr>
            <w:r>
              <w:rPr>
                <w:rFonts w:eastAsia=""/>
                <w:kern w:val="0"/>
                <w:szCs w:val="24"/>
                <w:lang w:val="es-ES" w:bidi="ar-SA"/>
              </w:rPr>
              <w:t>Texto explicativo ...</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I / Sistema de servicios y compra de productos</w:t>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I20 / Dispone de sistema de entrega de productos a domicilio con transporte sostenible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ofrece el servicio de entrega de productos a domicilio, priorizando la utilización de transporte sostenible.</w:t>
            </w:r>
          </w:p>
        </w:tc>
      </w:tr>
      <w:tr>
        <w:trPr>
          <w:trHeight w:val="72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18"/>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el medio de transporte sostenible que utiliza para realizar las entregas a domicilio.</w:t>
            </w:r>
          </w:p>
        </w:tc>
      </w:tr>
      <w:tr>
        <w:trPr>
          <w:trHeight w:val="1214"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0"/>
              <w:jc w:val="left"/>
              <w:rPr>
                <w:lang w:val="es-ES"/>
              </w:rPr>
            </w:pPr>
            <w:r>
              <w:rPr>
                <w:rFonts w:eastAsia="" w:ascii="Trebuchet MS" w:hAnsi="Trebuchet MS"/>
                <w:i/>
                <w:color w:val="808080" w:themeColor="background1" w:themeShade="80"/>
                <w:kern w:val="0"/>
                <w:szCs w:val="24"/>
                <w:lang w:val="es-ES" w:bidi="ar-SA"/>
              </w:rPr>
              <w:t>Texto explicativo...</w:t>
            </w:r>
          </w:p>
        </w:tc>
      </w:tr>
    </w:tbl>
    <w:p>
      <w:pPr>
        <w:pStyle w:val="06Subtitles"/>
        <w:rPr>
          <w:lang w:val="es-ES"/>
        </w:rPr>
      </w:pPr>
      <w:r>
        <w:rPr>
          <w:lang w:val="es-ES"/>
        </w:rPr>
      </w:r>
    </w:p>
    <w:p>
      <w:pPr>
        <w:pStyle w:val="06Subtitles"/>
        <w:rPr>
          <w:lang w:val="es-ES"/>
        </w:rPr>
      </w:pPr>
      <w:r>
        <w:rPr>
          <w:lang w:val="es-ES"/>
        </w:rPr>
        <w:t>J / Promoción/comercialización</w:t>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J21 / Facilita información sobre los productos que vende: origen, tipo, recomendaciones de conservación, gastronomía asociada,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informa a sus clientes sobre los productos locales disponibles en la tienda especializada.</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Explicación sobre el procedimiento para informar a los clientes sobre los productos locales disponibles. De ser posible, adjuntar fotografías sobre la metodología para presentar la información.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lang w:val="es-ES"/>
              </w:rPr>
            </w:r>
          </w:p>
          <w:p>
            <w:pPr>
              <w:pStyle w:val="04Openfields"/>
              <w:widowControl w:val="false"/>
              <w:suppressAutoHyphens w:val="true"/>
              <w:jc w:val="left"/>
              <w:rPr>
                <w:lang w:val="es-ES"/>
              </w:rPr>
            </w:pPr>
            <w:r>
              <w:rPr>
                <w:rFonts w:eastAsia=""/>
                <w:kern w:val="0"/>
                <w:szCs w:val="24"/>
                <w:lang w:val="es-ES" w:bidi="ar-SA"/>
              </w:rPr>
              <w:t>Texto explicativo ...</w:t>
            </w:r>
          </w:p>
          <w:p>
            <w:pPr>
              <w:pStyle w:val="04Openfields"/>
              <w:widowControl w:val="false"/>
              <w:suppressAutoHyphens w:val="true"/>
              <w:jc w:val="left"/>
              <w:rPr>
                <w:lang w:val="es-ES"/>
              </w:rPr>
            </w:pPr>
            <w:r>
              <w:rPr>
                <w:lang w:val="es-ES"/>
              </w:rPr>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Indicar aquí si se adjunta como anexo.</w:t>
            </w:r>
          </w:p>
        </w:tc>
      </w:tr>
    </w:tbl>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625"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J22 / Está inscrito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está inscrita en el catálogo de AGROXERXA.</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lang w:val="es-ES"/>
              </w:rPr>
            </w:pPr>
            <w:r>
              <w:rPr>
                <w:rFonts w:eastAsia="" w:ascii="Trebuchet MS" w:hAnsi="Trebuchet MS"/>
                <w:color w:val="153646"/>
                <w:kern w:val="0"/>
                <w:szCs w:val="18"/>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si está inscrito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La tienda especializada está inscrita en el catálogo de AGROXERXA con el nombre:</w:t>
            </w:r>
          </w:p>
          <w:p>
            <w:pPr>
              <w:pStyle w:val="04Openfields"/>
              <w:widowControl w:val="false"/>
              <w:suppressAutoHyphens w:val="true"/>
              <w:spacing w:before="80" w:after="0"/>
              <w:jc w:val="left"/>
              <w:rPr>
                <w:lang w:val="es-ES"/>
              </w:rPr>
            </w:pPr>
            <w:r>
              <w:rPr>
                <w:rFonts w:eastAsia=""/>
                <w:kern w:val="0"/>
                <w:szCs w:val="24"/>
                <w:lang w:val="es-ES" w:bidi="ar-SA"/>
              </w:rPr>
              <w:t>_____________________</w:t>
            </w:r>
          </w:p>
          <w:p>
            <w:pPr>
              <w:pStyle w:val="04Openfields"/>
              <w:widowControl w:val="false"/>
              <w:suppressAutoHyphens w:val="true"/>
              <w:spacing w:before="80" w:after="0"/>
              <w:jc w:val="left"/>
              <w:rPr>
                <w:lang w:val="es-ES"/>
              </w:rPr>
            </w:pPr>
            <w:r>
              <w:rPr>
                <w:lang w:val="es-ES"/>
              </w:rPr>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J23 / En caso de existir la posibilidad, ofrece degustaciones y/o pruebas a sus clientes</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rFonts w:eastAsia=""/>
                <w:kern w:val="0"/>
                <w:szCs w:val="24"/>
                <w:lang w:val="es-ES" w:bidi="ar-SA"/>
              </w:rPr>
              <w:t>Para incentivar las ventas, si existe la posibilidad en la tienda, debe ofrecerse degustaciones y/o pruebas de productos locales a sus clientes.</w:t>
            </w:r>
          </w:p>
        </w:tc>
      </w:tr>
      <w:tr>
        <w:trPr>
          <w:trHeight w:val="503"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Explicar brevemente el procedimiento para ofrecer degustaciones i/o pruebas a los clientes.</w:t>
            </w:r>
          </w:p>
        </w:tc>
      </w:tr>
      <w:tr>
        <w:trPr>
          <w:trHeight w:val="1214"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Texto explicativo...</w:t>
            </w:r>
          </w:p>
        </w:tc>
      </w:tr>
    </w:tbl>
    <w:p>
      <w:pPr>
        <w:pStyle w:val="Normal"/>
        <w:rPr>
          <w:lang w:val="es-ES"/>
        </w:rPr>
      </w:pPr>
      <w:r>
        <w:rPr>
          <w:lang w:val="es-ES"/>
        </w:rPr>
      </w:r>
    </w:p>
    <w:p>
      <w:pPr>
        <w:pStyle w:val="Normal"/>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9"/>
        <w:gridCol w:w="7080"/>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color w:val="FFFFFF"/>
                <w:kern w:val="0"/>
                <w:shd w:fill="auto" w:val="clear"/>
                <w:lang w:val="es-ES" w:eastAsia="en-US" w:bidi="ar-SA"/>
              </w:rPr>
              <w:t xml:space="preserve">J24 / </w:t>
            </w:r>
            <w:r>
              <w:rPr>
                <w:rFonts w:eastAsia="" w:cs=""/>
                <w:color w:val="FFFFFF"/>
                <w:kern w:val="0"/>
                <w:sz w:val="19"/>
                <w:szCs w:val="19"/>
                <w:shd w:fill="auto" w:val="clear"/>
                <w:lang w:val="es-ES" w:eastAsia="en-US" w:bidi="ar-SA"/>
              </w:rPr>
              <w:t>Adopta medidas para fomentar el consumo responsable y prevenir el desperdicio alimentario</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cs=""/>
                <w:kern w:val="0"/>
                <w:szCs w:val="24"/>
                <w:lang w:val="es-ES" w:eastAsia="en-US" w:bidi="ar-SA"/>
              </w:rPr>
              <w:t>Cumplimiento del criterio</w:t>
            </w:r>
          </w:p>
        </w:tc>
        <w:tc>
          <w:tcPr>
            <w:tcW w:w="708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 xml:space="preserve">La </w:t>
            </w:r>
            <w:r>
              <w:rPr>
                <w:rFonts w:eastAsia="" w:cs=""/>
                <w:kern w:val="0"/>
                <w:szCs w:val="24"/>
                <w:lang w:val="es-ES" w:eastAsia="en-US" w:bidi="ar-SA"/>
              </w:rPr>
              <w:t>tienda especializada</w:t>
            </w:r>
            <w:r>
              <w:rPr>
                <w:rFonts w:eastAsia="" w:cs=""/>
                <w:kern w:val="0"/>
                <w:lang w:val="es-ES" w:eastAsia="en-US" w:bidi="ar-SA"/>
              </w:rPr>
              <w:t xml:space="preserve"> toma medidas contra el desperdicio de alimentos.</w:t>
            </w:r>
          </w:p>
        </w:tc>
      </w:tr>
      <w:tr>
        <w:trPr>
          <w:trHeight w:val="2419"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0" w:type="dxa"/>
            <w:tcBorders>
              <w:top w:val="single" w:sz="4" w:space="0" w:color="D9D9D9"/>
              <w:left w:val="single" w:sz="4" w:space="0" w:color="D9D9D9"/>
              <w:right w:val="single" w:sz="2" w:space="0" w:color="D9D9D9"/>
            </w:tcBorders>
            <w:shd w:color="auto" w:fill="F9F9F9" w:val="clear"/>
            <w:vAlign w:val="center"/>
          </w:tcPr>
          <w:p>
            <w:pPr>
              <w:pStyle w:val="04Openfields"/>
              <w:widowControl w:val="false"/>
              <w:suppressAutoHyphens w:val="true"/>
              <w:spacing w:before="80" w:after="80"/>
              <w:jc w:val="left"/>
              <w:rPr>
                <w:lang w:val="es-ES"/>
              </w:rPr>
            </w:pPr>
            <w:r>
              <w:rPr>
                <w:rFonts w:eastAsia="" w:cs=""/>
                <w:i w:val="false"/>
                <w:iCs w:val="false"/>
                <w:color w:val="153646"/>
                <w:kern w:val="0"/>
                <w:sz w:val="18"/>
                <w:szCs w:val="20"/>
                <w:lang w:val="es-ES" w:eastAsia="en-US" w:bidi="ar-SA"/>
              </w:rPr>
              <w:t>Explicación de les medidas aplicadas para evitar el  desperdicio de alimentos</w:t>
            </w:r>
          </w:p>
        </w:tc>
      </w:tr>
      <w:tr>
        <w:trPr>
          <w:trHeight w:val="503" w:hRule="atLeast"/>
          <w:cantSplit w:val="true"/>
        </w:trPr>
        <w:tc>
          <w:tcPr>
            <w:tcW w:w="2999"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cs=""/>
                <w:kern w:val="0"/>
                <w:szCs w:val="24"/>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t>K / Apoyo al desarrollo local</w:t>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K25 / Ofrece servicio al menos durante 9 meses al año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ofrece los servicios de visitar su instalación durante al menos 9 meses al año.</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de qué fecha a qué fecha se realizan las visitas a la tienda especializada.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lang w:val="es-ES"/>
              </w:rPr>
            </w:r>
          </w:p>
          <w:p>
            <w:pPr>
              <w:pStyle w:val="04Openfields"/>
              <w:widowControl w:val="false"/>
              <w:suppressAutoHyphens w:val="true"/>
              <w:jc w:val="left"/>
              <w:rPr>
                <w:lang w:val="es-ES"/>
              </w:rPr>
            </w:pPr>
            <w:r>
              <w:rPr>
                <w:rFonts w:eastAsia=""/>
                <w:kern w:val="0"/>
                <w:szCs w:val="24"/>
                <w:lang w:val="es-ES" w:bidi="ar-SA"/>
              </w:rPr>
              <w:t>El servicio de visita se presta del ____ (día) de ___________ (mes) a ______ (día) de __________ (mes).</w:t>
            </w:r>
          </w:p>
          <w:p>
            <w:pPr>
              <w:pStyle w:val="04Openfields"/>
              <w:widowControl w:val="false"/>
              <w:suppressAutoHyphens w:val="true"/>
              <w:jc w:val="left"/>
              <w:rPr>
                <w:lang w:val="es-ES"/>
              </w:rPr>
            </w:pPr>
            <w:r>
              <w:rPr>
                <w:lang w:val="es-ES"/>
              </w:rPr>
            </w:r>
          </w:p>
        </w:tc>
      </w:tr>
    </w:tbl>
    <w:p>
      <w:pPr>
        <w:pStyle w:val="03Tableregular"/>
        <w:rPr>
          <w:lang w:val="es-ES"/>
        </w:rPr>
      </w:pPr>
      <w:r>
        <w:rPr>
          <w:lang w:val="es-ES"/>
        </w:rPr>
      </w:r>
    </w:p>
    <w:p>
      <w:pPr>
        <w:pStyle w:val="03Tableregular"/>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7"/>
        <w:gridCol w:w="7082"/>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lang w:val="es-ES" w:bidi="ar-SA"/>
              </w:rPr>
              <w:t>K26 / Organiza y/o participa en eventos de promoción relacionados con la Reserva de Biosfera</w:t>
            </w:r>
          </w:p>
        </w:tc>
      </w:tr>
      <w:tr>
        <w:trPr>
          <w:trHeight w:val="1151"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Cumplimiento del criterio</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La tienda especializada organiza o participa en eventos de promoción relacionados con la Reserva de Biosfera</w:t>
            </w:r>
          </w:p>
        </w:tc>
      </w:tr>
      <w:tr>
        <w:trPr>
          <w:trHeight w:val="647" w:hRule="atLeast"/>
          <w:cantSplit w:val="true"/>
        </w:trPr>
        <w:tc>
          <w:tcPr>
            <w:tcW w:w="2997"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Compromiso para cumplirlo en los próximos 3 años</w:t>
            </w:r>
          </w:p>
        </w:tc>
        <w:tc>
          <w:tcPr>
            <w:tcW w:w="7082"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rFonts w:eastAsia=""/>
                <w:kern w:val="0"/>
                <w:szCs w:val="24"/>
                <w:lang w:val="es-ES" w:bidi="ar-SA"/>
              </w:rPr>
              <w:t>Marcar con una X esta casilla si asume el compromiso.</w:t>
            </w:r>
          </w:p>
        </w:tc>
      </w:tr>
      <w:tr>
        <w:trPr>
          <w:trHeight w:val="710" w:hRule="atLeast"/>
          <w:cantSplit w:val="true"/>
        </w:trPr>
        <w:tc>
          <w:tcPr>
            <w:tcW w:w="2997"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0"/>
              <w:jc w:val="left"/>
              <w:rPr>
                <w:lang w:val="es-ES"/>
              </w:rPr>
            </w:pPr>
            <w:r>
              <w:rPr>
                <w:rFonts w:eastAsia=""/>
                <w:kern w:val="0"/>
                <w:szCs w:val="24"/>
                <w:lang w:val="es-ES" w:bidi="ar-SA"/>
              </w:rPr>
              <w:t>Justificación</w:t>
            </w:r>
          </w:p>
        </w:tc>
        <w:tc>
          <w:tcPr>
            <w:tcW w:w="708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kern w:val="0"/>
                <w:szCs w:val="24"/>
                <w:lang w:val="es-ES" w:bidi="ar-SA"/>
              </w:rPr>
              <w:t>Indicar listado de eventos</w:t>
            </w:r>
          </w:p>
        </w:tc>
      </w:tr>
      <w:tr>
        <w:trPr>
          <w:trHeight w:val="503" w:hRule="atLeast"/>
          <w:cantSplit w:val="true"/>
        </w:trPr>
        <w:tc>
          <w:tcPr>
            <w:tcW w:w="2997"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0"/>
              <w:jc w:val="left"/>
              <w:rPr>
                <w:color w:val="808080" w:themeColor="background1" w:themeShade="80"/>
                <w:lang w:val="es-ES"/>
              </w:rPr>
            </w:pPr>
            <w:r>
              <w:rPr>
                <w:color w:val="808080" w:themeColor="background1" w:themeShade="80"/>
                <w:lang w:val="es-ES"/>
              </w:rPr>
            </w:r>
          </w:p>
        </w:tc>
        <w:tc>
          <w:tcPr>
            <w:tcW w:w="708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0"/>
              <w:jc w:val="left"/>
              <w:rPr>
                <w:lang w:val="es-ES"/>
              </w:rPr>
            </w:pPr>
            <w:r>
              <w:rPr>
                <w:lang w:val="es-ES"/>
              </w:rPr>
            </w:r>
          </w:p>
          <w:p>
            <w:pPr>
              <w:pStyle w:val="04Openfields"/>
              <w:widowControl w:val="false"/>
              <w:suppressAutoHyphens w:val="true"/>
              <w:jc w:val="left"/>
              <w:rPr>
                <w:lang w:val="es-ES"/>
              </w:rPr>
            </w:pPr>
            <w:r>
              <w:rPr>
                <w:rFonts w:eastAsia=""/>
                <w:kern w:val="0"/>
                <w:szCs w:val="24"/>
                <w:lang w:val="es-ES" w:bidi="ar-SA"/>
              </w:rPr>
              <w:t>Indicar aquí si se adjunta como anexo.</w:t>
            </w:r>
          </w:p>
          <w:p>
            <w:pPr>
              <w:pStyle w:val="04Openfields"/>
              <w:widowControl w:val="false"/>
              <w:suppressAutoHyphens w:val="true"/>
              <w:jc w:val="left"/>
              <w:rPr>
                <w:lang w:val="es-ES"/>
              </w:rPr>
            </w:pPr>
            <w:r>
              <w:rPr>
                <w:lang w:val="es-ES"/>
              </w:rPr>
            </w:r>
          </w:p>
        </w:tc>
      </w:tr>
    </w:tbl>
    <w:p>
      <w:pPr>
        <w:pStyle w:val="Normal"/>
        <w:rPr>
          <w:lang w:val="es-ES"/>
        </w:rPr>
      </w:pPr>
      <w:r>
        <w:rPr>
          <w:lang w:val="es-ES"/>
        </w:rPr>
      </w:r>
    </w:p>
    <w:p>
      <w:pPr>
        <w:pStyle w:val="10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xml:space="preserve">, </w:t>
      </w:r>
      <w:r>
        <w:rPr>
          <w:sz w:val="21"/>
          <w:szCs w:val="21"/>
          <w:lang w:val="es-ES"/>
        </w:rPr>
        <w:t>la tienda especializada</w:t>
      </w:r>
      <w:r>
        <w:rPr>
          <w:lang w:val="es-ES"/>
        </w:rPr>
        <w:t xml:space="preserve">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sz w:val="18"/>
                <w:lang w:val="es-ES" w:bidi="ar-SA"/>
              </w:rPr>
              <w:t>L1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sz w:val="18"/>
                <w:lang w:val="es-ES" w:bidi="ar-SA"/>
              </w:rPr>
              <w:t>L2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sz w:val="18"/>
                <w:lang w:val="es-ES" w:bidi="ar-SA"/>
              </w:rPr>
              <w:t>L3 / Está registrado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sz w:val="18"/>
                <w:lang w:val="es-ES" w:bidi="ar-SA"/>
              </w:rPr>
              <w:t>L4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kern w:val="0"/>
                <w:sz w:val="18"/>
                <w:lang w:val="es-ES" w:bidi="ar-SA"/>
              </w:rPr>
              <w:t>L5/ Asistir a les jornadas que de forma específica para los usuarios de la Marca se organicen desde la Agencia Menorca Reserva de Biosfera.</w:t>
            </w:r>
          </w:p>
        </w:tc>
      </w:tr>
    </w:tbl>
    <w:p>
      <w:pPr>
        <w:pStyle w:val="03Tableregular"/>
        <w:spacing w:before="320" w:after="320"/>
        <w:rPr>
          <w:sz w:val="20"/>
          <w:lang w:val="es-ES"/>
        </w:rPr>
      </w:pPr>
      <w:r>
        <w:rPr>
          <w:sz w:val="20"/>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mc:AlternateContent>
        <mc:Choice Requires="wps">
          <w:drawing>
            <wp:anchor behindDoc="1" distT="0" distB="0" distL="0" distR="0" simplePos="0" locked="0" layoutInCell="1" allowOverlap="1" relativeHeight="26">
              <wp:simplePos x="0" y="0"/>
              <wp:positionH relativeFrom="column">
                <wp:posOffset>5456555</wp:posOffset>
              </wp:positionH>
              <wp:positionV relativeFrom="paragraph">
                <wp:posOffset>-177800</wp:posOffset>
              </wp:positionV>
              <wp:extent cx="297815" cy="356870"/>
              <wp:effectExtent l="0" t="0" r="0" b="0"/>
              <wp:wrapNone/>
              <wp:docPr id="1" name="Marc1"/>
              <a:graphic xmlns:a="http://schemas.openxmlformats.org/drawingml/2006/main">
                <a:graphicData uri="http://schemas.microsoft.com/office/word/2010/wordprocessingShape">
                  <wps:wsp>
                    <wps:cNvSpPr/>
                    <wps:spPr>
                      <a:xfrm>
                        <a:off x="0" y="0"/>
                        <a:ext cx="297720" cy="356760"/>
                      </a:xfrm>
                      <a:prstGeom prst="rect">
                        <a:avLst/>
                      </a:prstGeom>
                      <a:noFill/>
                      <a:ln w="0">
                        <a:noFill/>
                      </a:ln>
                    </wps:spPr>
                    <wps:style>
                      <a:lnRef idx="0"/>
                      <a:fillRef idx="0"/>
                      <a:effectRef idx="0"/>
                      <a:fontRef idx="minor"/>
                    </wps:style>
                    <wps:txbx>
                      <w:txbxContent>
                        <w:p>
                          <w:pPr>
                            <w:pStyle w:val="Contenidodelmarco"/>
                            <w:rPr>
                              <w:color w:val="000000"/>
                            </w:rPr>
                          </w:pPr>
                          <w:r>
                            <w:rPr>
                              <w:color w:val="000000"/>
                            </w:rPr>
                          </w:r>
                        </w:p>
                      </w:txbxContent>
                    </wps:txbx>
                    <wps:bodyPr anchor="t">
                      <a:noAutofit/>
                    </wps:bodyPr>
                  </wps:wsp>
                </a:graphicData>
              </a:graphic>
            </wp:anchor>
          </w:drawing>
        </mc:Choice>
        <mc:Fallback>
          <w:pict>
            <v:rect id="shape_0" ID="Marc1" path="m0,0l-2147483645,0l-2147483645,-2147483646l0,-2147483646xe" stroked="f" o:allowincell="f" style="position:absolute;margin-left:429.65pt;margin-top:-14pt;width:23.4pt;height:28.05pt;mso-wrap-style:none;v-text-anchor:middle">
              <v:fill o:detectmouseclick="t" on="false"/>
              <v:stroke color="#3465a4" joinstyle="round" endcap="flat"/>
              <v:textbox>
                <w:txbxContent>
                  <w:p>
                    <w:pPr>
                      <w:pStyle w:val="Contenidodelmarco"/>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2">
              <wp:simplePos x="0" y="0"/>
              <wp:positionH relativeFrom="column">
                <wp:posOffset>5798185</wp:posOffset>
              </wp:positionH>
              <wp:positionV relativeFrom="paragraph">
                <wp:posOffset>-222250</wp:posOffset>
              </wp:positionV>
              <wp:extent cx="742315" cy="740410"/>
              <wp:effectExtent l="0" t="0" r="0" b="0"/>
              <wp:wrapNone/>
              <wp:docPr id="2" name="Marc2"/>
              <a:graphic xmlns:a="http://schemas.openxmlformats.org/drawingml/2006/main">
                <a:graphicData uri="http://schemas.microsoft.com/office/word/2010/wordprocessingShape">
                  <wps:wsp>
                    <wps:cNvSpPr/>
                    <wps:spPr>
                      <a:xfrm>
                        <a:off x="0" y="0"/>
                        <a:ext cx="742320" cy="740520"/>
                      </a:xfrm>
                      <a:prstGeom prst="rect">
                        <a:avLst/>
                      </a:prstGeom>
                      <a:noFill/>
                      <a:ln w="0">
                        <a:noFill/>
                      </a:ln>
                    </wps:spPr>
                    <wps:style>
                      <a:lnRef idx="0"/>
                      <a:fillRef idx="0"/>
                      <a:effectRef idx="0"/>
                      <a:fontRef idx="minor"/>
                    </wps:style>
                    <wps:txbx>
                      <w:txbxContent>
                        <w:p>
                          <w:pPr>
                            <w:pStyle w:val="Cabecera"/>
                            <w:rPr>
                              <w:color w:val="000000"/>
                            </w:rPr>
                          </w:pPr>
                          <w:r>
                            <w:rPr>
                              <w:color w:val="000000"/>
                            </w:rPr>
                            <w:drawing>
                              <wp:inline distT="0" distB="0" distL="0" distR="0">
                                <wp:extent cx="548640" cy="548640"/>
                                <wp:effectExtent l="0" t="0" r="0" b="0"/>
                                <wp:docPr id="4"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2" path="m0,0l-2147483645,0l-2147483645,-2147483646l0,-2147483646xe" stroked="f" o:allowincell="f" style="position:absolute;margin-left:456.55pt;margin-top:-17.5pt;width:58.4pt;height:58.25pt;mso-wrap-style:none;v-text-anchor:middle">
              <v:fill o:detectmouseclick="t" on="false"/>
              <v:stroke color="#3465a4" joinstyle="round" endcap="flat"/>
              <v:textbox>
                <w:txbxContent>
                  <w:p>
                    <w:pPr>
                      <w:pStyle w:val="Cabecera"/>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1125" distR="114300" simplePos="0" locked="0" layoutInCell="0" allowOverlap="1" relativeHeight="91">
              <wp:simplePos x="0" y="0"/>
              <wp:positionH relativeFrom="column">
                <wp:posOffset>-32385</wp:posOffset>
              </wp:positionH>
              <wp:positionV relativeFrom="paragraph">
                <wp:posOffset>-101600</wp:posOffset>
              </wp:positionV>
              <wp:extent cx="4801235" cy="568325"/>
              <wp:effectExtent l="0" t="0" r="0" b="0"/>
              <wp:wrapSquare wrapText="bothSides"/>
              <wp:docPr id="3" name="Marc3"/>
              <a:graphic xmlns:a="http://schemas.openxmlformats.org/drawingml/2006/main">
                <a:graphicData uri="http://schemas.microsoft.com/office/word/2010/wordprocessingShape">
                  <wps:wsp>
                    <wps:cNvSpPr/>
                    <wps:spPr>
                      <a:xfrm>
                        <a:off x="0" y="0"/>
                        <a:ext cx="4801320" cy="568440"/>
                      </a:xfrm>
                      <a:prstGeom prst="rect">
                        <a:avLst/>
                      </a:prstGeom>
                      <a:noFill/>
                      <a:ln w="0">
                        <a:noFill/>
                      </a:ln>
                    </wps:spPr>
                    <wps:style>
                      <a:lnRef idx="0"/>
                      <a:fillRef idx="0"/>
                      <a:effectRef idx="0"/>
                      <a:fontRef idx="minor"/>
                    </wps:style>
                    <wps:txbx>
                      <w:txbxContent>
                        <w:p>
                          <w:pPr>
                            <w:pStyle w:val="10Regular"/>
                            <w:spacing w:before="80" w:after="0"/>
                            <w:rPr>
                              <w:lang w:val="es-ES" w:eastAsia="zh-TW" w:bidi="ar-SA"/>
                            </w:rPr>
                          </w:pPr>
                          <w:r>
                            <w:rPr>
                              <w:b/>
                              <w:color w:val="000000"/>
                              <w:sz w:val="22"/>
                              <w:szCs w:val="22"/>
                              <w:lang w:val="es-ES" w:eastAsia="zh-TW" w:bidi="ar-SA"/>
                            </w:rPr>
                            <w:t>MEMORIA EXPLICATIVA</w:t>
                          </w:r>
                        </w:p>
                        <w:p>
                          <w:pPr>
                            <w:pStyle w:val="10Regular"/>
                            <w:rPr>
                              <w:lang w:val="es-ES" w:eastAsia="zh-TW" w:bidi="ar-SA"/>
                            </w:rPr>
                          </w:pPr>
                          <w:r>
                            <w:rPr>
                              <w:color w:val="000000"/>
                              <w:lang w:val="es-ES" w:eastAsia="zh-TW" w:bidi="ar-SA"/>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3" path="m0,0l-2147483645,0l-2147483645,-2147483646l0,-2147483646xe" stroked="f" o:allowincell="f" style="position:absolute;margin-left:-2.55pt;margin-top:-8pt;width:378pt;height:44.7pt;mso-wrap-style:square;v-text-anchor:top">
              <v:fill o:detectmouseclick="t" on="false"/>
              <v:stroke color="#3465a4" joinstyle="round" endcap="flat"/>
              <v:textbox>
                <w:txbxContent>
                  <w:p>
                    <w:pPr>
                      <w:pStyle w:val="10Regular"/>
                      <w:spacing w:before="80" w:after="0"/>
                      <w:rPr>
                        <w:lang w:val="es-ES" w:eastAsia="zh-TW" w:bidi="ar-SA"/>
                      </w:rPr>
                    </w:pPr>
                    <w:r>
                      <w:rPr>
                        <w:b/>
                        <w:color w:val="000000"/>
                        <w:sz w:val="22"/>
                        <w:szCs w:val="22"/>
                        <w:lang w:val="es-ES" w:eastAsia="zh-TW" w:bidi="ar-SA"/>
                      </w:rPr>
                      <w:t>MEMORIA EXPLICATIVA</w:t>
                    </w:r>
                  </w:p>
                  <w:p>
                    <w:pPr>
                      <w:pStyle w:val="10Regular"/>
                      <w:rPr>
                        <w:lang w:val="es-ES" w:eastAsia="zh-TW" w:bidi="ar-SA"/>
                      </w:rPr>
                    </w:pPr>
                    <w:r>
                      <w:rPr>
                        <w:color w:val="000000"/>
                        <w:lang w:val="es-ES" w:eastAsia="zh-TW" w:bidi="ar-SA"/>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66">
              <wp:simplePos x="0" y="0"/>
              <wp:positionH relativeFrom="column">
                <wp:posOffset>0</wp:posOffset>
              </wp:positionH>
              <wp:positionV relativeFrom="paragraph">
                <wp:posOffset>143510</wp:posOffset>
              </wp:positionV>
              <wp:extent cx="6515100" cy="635"/>
              <wp:effectExtent l="0" t="3175" r="0" b="3175"/>
              <wp:wrapNone/>
              <wp:docPr id="4" name="Straight Connector 11"/>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11" stroked="t" o:allowincell="f" style="position:absolute">
              <v:stroke color="#d9d9d9" weight="6480" joinstyle="miter" endcap="flat"/>
              <v:fill o:detectmouseclick="t" on="false"/>
              <w10:wrap type="none"/>
            </v:line>
          </w:pict>
        </mc:Fallback>
      </mc:AlternateContent>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787b"/>
    <w:pPr>
      <w:widowControl/>
      <w:suppressAutoHyphens w:val="true"/>
      <w:bidi w:val="0"/>
      <w:spacing w:before="0" w:after="0"/>
      <w:jc w:val="left"/>
    </w:pPr>
    <w:rPr>
      <w:rFonts w:ascii="Times New Roman" w:hAnsi="Times New Roman" w:eastAsia="" w:cs="Times New Roman" w:eastAsiaTheme="minorEastAsia"/>
      <w:color w:val="auto"/>
      <w:kern w:val="0"/>
      <w:sz w:val="24"/>
      <w:szCs w:val="24"/>
      <w:lang w:val="en-GB" w:eastAsia="zh-TW"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uiPriority w:val="99"/>
    <w:unhideWhenUsed/>
    <w:qFormat/>
    <w:rsid w:val="003b6028"/>
    <w:rPr>
      <w:color w:val="000080"/>
      <w:u w:val="single"/>
      <w:lang w:val="zxx" w:eastAsia="zxx" w:bidi="zxx"/>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eb13e5"/>
    <w:rPr>
      <w:rFonts w:ascii="Tahoma" w:hAnsi="Tahoma" w:cs="Tahoma"/>
      <w:sz w:val="16"/>
      <w:szCs w:val="16"/>
      <w:lang w:eastAsia="zh-TW"/>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rsid w:val="003a2d60"/>
    <w:pPr>
      <w:spacing w:lineRule="auto" w:line="276" w:before="0" w:after="140"/>
    </w:pPr>
    <w:rPr/>
  </w:style>
  <w:style w:type="paragraph" w:styleId="Lista">
    <w:name w:val="List"/>
    <w:basedOn w:val="Cuerpodetexto"/>
    <w:rsid w:val="003a2d60"/>
    <w:pPr/>
    <w:rPr>
      <w:rFonts w:cs="Lucida Sans"/>
    </w:rPr>
  </w:style>
  <w:style w:type="paragraph" w:styleId="Leyenda" w:customStyle="1">
    <w:name w:val="Caption"/>
    <w:basedOn w:val="Normal"/>
    <w:qFormat/>
    <w:rsid w:val="003a2d60"/>
    <w:pPr>
      <w:suppressLineNumbers/>
      <w:spacing w:before="120" w:after="120"/>
    </w:pPr>
    <w:rPr>
      <w:rFonts w:cs="Lucida Sans"/>
      <w:i/>
      <w:iCs/>
    </w:rPr>
  </w:style>
  <w:style w:type="paragraph" w:styleId="Ndice" w:customStyle="1">
    <w:name w:val="Índice"/>
    <w:basedOn w:val="Normal"/>
    <w:qFormat/>
    <w:rsid w:val="003a2d60"/>
    <w:pPr>
      <w:suppressLineNumbers/>
    </w:pPr>
    <w:rPr>
      <w:rFonts w:cs="Lucida Sans"/>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Ttulogeneral">
    <w:name w:val="Title"/>
    <w:basedOn w:val="Normal"/>
    <w:next w:val="Cuerpodetexto"/>
    <w:qFormat/>
    <w:rsid w:val="003a2d60"/>
    <w:pPr>
      <w:keepNext w:val="true"/>
      <w:spacing w:before="240" w:after="120"/>
    </w:pPr>
    <w:rPr>
      <w:rFonts w:ascii="Liberation Sans" w:hAnsi="Liberation Sans" w:eastAsia="Microsoft YaHei" w:cs="Lucida Sans"/>
      <w:sz w:val="28"/>
      <w:szCs w:val="28"/>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textAlignment w:val="center"/>
    </w:pPr>
    <w:rPr>
      <w:rFonts w:cs="MinionPro-Regular"/>
      <w:bCs/>
      <w:color w:val="EC008C"/>
      <w:sz w:val="36"/>
      <w:szCs w:val="36"/>
    </w:rPr>
  </w:style>
  <w:style w:type="paragraph" w:styleId="Tablebold" w:customStyle="1">
    <w:name w:val="Table bold"/>
    <w:basedOn w:val="Normal"/>
    <w:qFormat/>
    <w:rsid w:val="003b6028"/>
    <w:pPr>
      <w:spacing w:before="80" w:after="0"/>
    </w:pPr>
    <w:rPr>
      <w:b/>
      <w:color w:val="15397F"/>
      <w:sz w:val="18"/>
    </w:rPr>
  </w:style>
  <w:style w:type="paragraph" w:styleId="Tableinfo" w:customStyle="1">
    <w:name w:val="Table info"/>
    <w:basedOn w:val="Normal"/>
    <w:qFormat/>
    <w:rsid w:val="00d13d3c"/>
    <w:pPr>
      <w:spacing w:before="80" w:after="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rPr>
  </w:style>
  <w:style w:type="paragraph" w:styleId="Bullet1" w:customStyle="1">
    <w:name w:val="Bullet 1"/>
    <w:basedOn w:val="Normal"/>
    <w:qFormat/>
    <w:rsid w:val="00b801fd"/>
    <w:pPr>
      <w:spacing w:before="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textAlignment w:val="center"/>
    </w:pPr>
    <w:rPr>
      <w:rFonts w:ascii="Gotham-Medium" w:hAnsi="Gotham-Medium" w:cs="Gotham-Medium"/>
      <w:color w:val="FF00FF"/>
    </w:rPr>
  </w:style>
  <w:style w:type="paragraph" w:styleId="FORMFIELDTITLE" w:customStyle="1">
    <w:name w:val="FORM FIELD TITLE"/>
    <w:basedOn w:val="Normal"/>
    <w:uiPriority w:val="99"/>
    <w:qFormat/>
    <w:rsid w:val="00372af0"/>
    <w:pPr>
      <w:widowControl w:val="false"/>
      <w:suppressAutoHyphens w:val="true"/>
      <w:spacing w:lineRule="atLeast" w:line="220"/>
      <w:textAlignment w:val="center"/>
    </w:pPr>
    <w:rPr>
      <w:rFonts w:ascii="Gotham-Medium" w:hAnsi="Gotham-Medium" w:cs="Gotham-Medium"/>
      <w:color w:val="000000"/>
      <w:sz w:val="17"/>
      <w:szCs w:val="17"/>
    </w:rPr>
  </w:style>
  <w:style w:type="paragraph" w:styleId="DOCUMENTSUBTITLE" w:customStyle="1">
    <w:name w:val="DOCUMENT SUB TITLE"/>
    <w:basedOn w:val="Normal"/>
    <w:uiPriority w:val="99"/>
    <w:qFormat/>
    <w:rsid w:val="003072c7"/>
    <w:pPr>
      <w:widowControl w:val="false"/>
      <w:suppressAutoHyphens w:val="true"/>
      <w:spacing w:lineRule="auto" w:line="288"/>
      <w:textAlignment w:val="center"/>
    </w:pPr>
    <w:rPr>
      <w:rFonts w:ascii="Gotham-Light" w:hAnsi="Gotham-Light" w:cs="Gotham-Light"/>
      <w:color w:val="241F21"/>
      <w:sz w:val="38"/>
      <w:szCs w:val="38"/>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4"/>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0" w:after="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6529df"/>
    <w:pPr>
      <w:spacing w:before="120" w:after="120"/>
    </w:pPr>
    <w:rPr>
      <w:i/>
      <w:sz w:val="17"/>
      <w:szCs w:val="17"/>
    </w:rPr>
  </w:style>
  <w:style w:type="paragraph" w:styleId="Contenidodelmarco" w:customStyle="1">
    <w:name w:val="Contenido del marco"/>
    <w:basedOn w:val="Normal"/>
    <w:qFormat/>
    <w:rsid w:val="003a2d60"/>
    <w:pPr/>
    <w:rPr/>
  </w:style>
  <w:style w:type="paragraph" w:styleId="BalloonText">
    <w:name w:val="Balloon Text"/>
    <w:basedOn w:val="Normal"/>
    <w:link w:val="TextodegloboCar"/>
    <w:uiPriority w:val="99"/>
    <w:semiHidden/>
    <w:unhideWhenUsed/>
    <w:qFormat/>
    <w:rsid w:val="00eb13e5"/>
    <w:pPr/>
    <w:rPr>
      <w:rFonts w:ascii="Tahoma" w:hAnsi="Tahoma" w:cs="Tahoma"/>
      <w:sz w:val="16"/>
      <w:szCs w:val="16"/>
    </w:rPr>
  </w:style>
  <w:style w:type="paragraph" w:styleId="Contingutdelmarc">
    <w:name w:val="Contingut del marc"/>
    <w:basedOn w:val="Normal"/>
    <w:qFormat/>
    <w:pPr/>
    <w:rPr/>
  </w:style>
  <w:style w:type="paragraph" w:styleId="Contingutdelataula">
    <w:name w:val="Contingut de la taula"/>
    <w:basedOn w:val="Normal"/>
    <w:qFormat/>
    <w:pPr>
      <w:widowControl w:val="false"/>
      <w:suppressLineNumbers/>
    </w:pPr>
    <w:rPr/>
  </w:style>
  <w:style w:type="paragraph" w:styleId="Encapalamentdelataula">
    <w:name w:val="Encapçalament de la taula"/>
    <w:basedOn w:val="Contingutdelatau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6C9A-23A0-414E-B4E4-C90F9F4D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Application>LibreOffice/7.5.7.1$Windows_X86_64 LibreOffice_project/47eb0cf7efbacdee9b19ae25d6752381ede23126</Application>
  <AppVersion>15.0000</AppVersion>
  <Pages>13</Pages>
  <Words>2756</Words>
  <Characters>15450</Characters>
  <CharactersWithSpaces>17939</CharactersWithSpaces>
  <Paragraphs>268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2019-07-18T09:18:00Z</dcterms:created>
  <dc:creator>Microsoft Office User</dc:creator>
  <dc:description/>
  <dc:language>es-ES</dc:language>
  <cp:lastModifiedBy/>
  <cp:lastPrinted>2019-06-18T15:52:00Z</cp:lastPrinted>
  <dcterms:modified xsi:type="dcterms:W3CDTF">2025-05-06T12:21:10Z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