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rStyle w:val="Strong"/>
          <w:lang w:val="ca-ES"/>
        </w:rPr>
      </w:pPr>
      <w:r>
        <w:rPr>
          <w:lang w:val="ca-ES"/>
        </w:rPr>
      </w:r>
    </w:p>
    <w:p>
      <w:pPr>
        <w:pStyle w:val="Normal"/>
        <w:numPr>
          <w:ilvl w:val="0"/>
          <w:numId w:val="0"/>
        </w:numPr>
        <w:ind w:left="0" w:hanging="0"/>
        <w:outlineLvl w:val="0"/>
        <w:rPr/>
      </w:pPr>
      <w:r>
        <w:rPr>
          <w:rStyle w:val="Strong"/>
          <w:rFonts w:ascii="Trebuchet MS" w:hAnsi="Trebuchet MS"/>
          <w:color w:val="00AFAA"/>
          <w:sz w:val="20"/>
          <w:lang w:val="es-ES"/>
        </w:rPr>
        <w:t>CATEGORÍA 15</w:t>
      </w:r>
    </w:p>
    <w:p>
      <w:pPr>
        <w:pStyle w:val="Head1"/>
        <w:numPr>
          <w:ilvl w:val="0"/>
          <w:numId w:val="0"/>
        </w:numPr>
        <w:ind w:left="0" w:hanging="0"/>
        <w:outlineLvl w:val="0"/>
        <w:rPr>
          <w:lang w:val="es-ES"/>
        </w:rPr>
      </w:pPr>
      <w:r>
        <w:rPr>
          <w:rFonts w:ascii="Trebuchet MS" w:hAnsi="Trebuchet MS"/>
          <w:b/>
          <w:color w:val="002B49"/>
          <w:sz w:val="54"/>
          <w:szCs w:val="54"/>
          <w:lang w:val="es-ES"/>
        </w:rPr>
        <w:t>Oferta de Visitas a Industrias Agroaliment</w:t>
      </w:r>
      <w:r>
        <w:rPr>
          <w:rFonts w:ascii="Trebuchet MS" w:hAnsi="Trebuchet MS"/>
          <w:b/>
          <w:color w:val="002B49"/>
          <w:sz w:val="54"/>
          <w:szCs w:val="54"/>
          <w:lang w:val="es-ES"/>
        </w:rPr>
        <w:t>a</w:t>
      </w:r>
      <w:r>
        <w:rPr>
          <w:rFonts w:ascii="Trebuchet MS" w:hAnsi="Trebuchet MS"/>
          <w:b/>
          <w:color w:val="002B49"/>
          <w:sz w:val="54"/>
          <w:szCs w:val="54"/>
          <w:lang w:val="es-ES"/>
        </w:rPr>
        <w:t>rias de Menorca</w:t>
      </w:r>
    </w:p>
    <w:p>
      <w:pPr>
        <w:pStyle w:val="Head1"/>
        <w:numPr>
          <w:ilvl w:val="0"/>
          <w:numId w:val="0"/>
        </w:numPr>
        <w:ind w:left="0" w:hanging="0"/>
        <w:outlineLvl w:val="0"/>
        <w:rPr>
          <w:rFonts w:ascii="Trebuchet MS" w:hAnsi="Trebuchet MS"/>
          <w:b/>
          <w:color w:val="002B49"/>
          <w:sz w:val="54"/>
          <w:szCs w:val="54"/>
          <w:lang w:val="es-ES"/>
        </w:rPr>
      </w:pPr>
      <w:r>
        <w:rPr>
          <w:rFonts w:ascii="Trebuchet MS" w:hAnsi="Trebuchet MS"/>
          <w:b/>
          <w:color w:val="002B49"/>
          <w:sz w:val="54"/>
          <w:szCs w:val="54"/>
          <w:lang w:val="es-ES"/>
        </w:rPr>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09" w:type="dxa"/>
        <w:tblLayout w:type="fixed"/>
        <w:tblCellMar>
          <w:top w:w="0" w:type="dxa"/>
          <w:left w:w="107"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industria agroalimentaria: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 la industria agroalimentaria: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bl>
    <w:p>
      <w:pPr>
        <w:pStyle w:val="Normal"/>
        <w:spacing w:lineRule="auto" w:line="276"/>
        <w:rPr>
          <w:color w:val="002B49"/>
          <w:lang w:val="es-ES"/>
        </w:rPr>
      </w:pPr>
      <w:r>
        <w:rPr>
          <w:color w:val="002B49"/>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tbl>
      <w:tblPr>
        <w:tblStyle w:val="Tablaconcuadrcula"/>
        <w:tblW w:w="10192" w:type="dxa"/>
        <w:jc w:val="left"/>
        <w:tblInd w:w="109" w:type="dxa"/>
        <w:tblLayout w:type="fixed"/>
        <w:tblCellMar>
          <w:top w:w="0" w:type="dxa"/>
          <w:left w:w="107"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visita a la industria agroalimentaria debe cumplir con los </w:t>
      </w:r>
      <w:r>
        <w:rPr>
          <w:b/>
          <w:lang w:val="es-ES"/>
        </w:rPr>
        <w:t>9 requisitos obligatorios</w:t>
      </w:r>
      <w:r>
        <w:rPr>
          <w:lang w:val="es-ES"/>
        </w:rPr>
        <w:t xml:space="preserve"> siguientes:</w:t>
      </w:r>
    </w:p>
    <w:p>
      <w:pPr>
        <w:pStyle w:val="10Regular"/>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B / Productos elaborados</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B2 / La concesión/permanencia de las visitas a la industria agroalimentaria está supeditada a conseguir y/o mantener la marca MRB del producto elaborado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que se dispone de autorización para el uso de la marca para el producto elaborado que es objeto de la visita a industria agroalimentaria.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qué producto o productos que se elaboran en esta industria disponen del uso de la marca Menorca Reserva de Biosfera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6Subtitles"/>
        <w:rPr>
          <w:lang w:val="es-ES"/>
        </w:rPr>
      </w:pPr>
      <w:r>
        <w:rPr>
          <w:lang w:val="es-ES"/>
        </w:rPr>
      </w:r>
    </w:p>
    <w:p>
      <w:pPr>
        <w:pStyle w:val="06Subtitles"/>
        <w:rPr>
          <w:lang w:val="es-ES"/>
        </w:rPr>
      </w:pPr>
      <w:r>
        <w:rPr>
          <w:lang w:val="es-ES"/>
        </w:rPr>
        <w:t>C / Servicio de les visitas</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3006"/>
        <w:gridCol w:w="7073"/>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Personal específico que tenga asignada la función de guía de los visitantes</w:t>
            </w:r>
          </w:p>
        </w:tc>
      </w:tr>
      <w:tr>
        <w:trPr>
          <w:trHeight w:val="503" w:hRule="atLeast"/>
          <w:cantSplit w:val="true"/>
        </w:trPr>
        <w:tc>
          <w:tcPr>
            <w:tcW w:w="3006"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7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la relación del personal designado para efectuar las visitas a la industria agroalimentaria.</w:t>
            </w:r>
          </w:p>
        </w:tc>
      </w:tr>
      <w:tr>
        <w:trPr>
          <w:trHeight w:val="503" w:hRule="atLeast"/>
          <w:cantSplit w:val="true"/>
        </w:trPr>
        <w:tc>
          <w:tcPr>
            <w:tcW w:w="3006"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7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la relación del personal designado para efectuar las visitas a la  industria agroalimentaria.</w:t>
            </w:r>
          </w:p>
        </w:tc>
      </w:tr>
      <w:tr>
        <w:trPr>
          <w:trHeight w:val="503" w:hRule="atLeast"/>
          <w:cantSplit w:val="true"/>
        </w:trPr>
        <w:tc>
          <w:tcPr>
            <w:tcW w:w="300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Guía 1</w:t>
            </w:r>
          </w:p>
        </w:tc>
      </w:tr>
      <w:tr>
        <w:trPr>
          <w:trHeight w:val="503" w:hRule="atLeast"/>
          <w:cantSplit w:val="true"/>
        </w:trPr>
        <w:tc>
          <w:tcPr>
            <w:tcW w:w="300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73"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Guía 2</w:t>
            </w:r>
          </w:p>
        </w:tc>
      </w:tr>
      <w:tr>
        <w:trPr>
          <w:trHeight w:val="503" w:hRule="atLeast"/>
          <w:cantSplit w:val="true"/>
        </w:trPr>
        <w:tc>
          <w:tcPr>
            <w:tcW w:w="300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73"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D4 / Realiza seguimiento sobre el consumo de energía y agua (electricidad, gas, gasoil...)</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seguimiento del consumo de energía y agua de la industria agroalimentaria de todo el último año.</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seguimiento del consumo de energía y agua de la industria agroalimentaria de todo el último año.</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sz w:val="24"/>
          <w:szCs w:val="24"/>
          <w:lang w:val="es-ES"/>
        </w:rPr>
      </w:pPr>
      <w:r>
        <w:rPr>
          <w:sz w:val="24"/>
          <w:szCs w:val="24"/>
          <w:lang w:val="es-ES"/>
        </w:rPr>
      </w:r>
    </w:p>
    <w:p>
      <w:pPr>
        <w:pStyle w:val="06Subtitles"/>
        <w:rPr>
          <w:sz w:val="24"/>
          <w:szCs w:val="24"/>
          <w:lang w:val="es-ES"/>
        </w:rPr>
      </w:pPr>
      <w:r>
        <w:rPr>
          <w:sz w:val="24"/>
          <w:szCs w:val="24"/>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Tiene una política de compras verdes (equipos, materiales y/o productos). Prioriza materiales reciclados, reutilizables y/o reciclables</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disponer de una política de compras verdes en la que debe indicar el proceso de compras que utiliza dando prioridad a la adquisición de materiales reutilizables y/o ecológicos</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documento de política de compras verdes que sigue la  industria agroalimentaria</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Dispone de protocolos preventivos para detectar y solucionar errores en el funcionamiento de las instalaciones (agua, luz, climatización...)</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disponer de un protocolo para detectar y solucionar errores en el funcionamiento de las instalaciones (agua, luz, climatización...)</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protocolo preventivo de errores en el funcionamiento de que dispone la industria agroalimentaria solicitante.</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Adopta medidas para el ahorro de energía: luces de bajo consumo, instalación de interruptores temporizados en zonas de paso, células de iluminación automática, sistema</w:t>
            </w:r>
            <w:r>
              <w:rPr>
                <w:rFonts w:eastAsia="" w:cs=""/>
                <w:kern w:val="0"/>
                <w:lang w:val="es-ES" w:eastAsia="en-US" w:bidi="ar-SA"/>
              </w:rPr>
              <w:t>s</w:t>
            </w:r>
            <w:r>
              <w:rPr>
                <w:rFonts w:eastAsia="" w:cs=""/>
                <w:kern w:val="0"/>
                <w:lang w:val="es-ES" w:eastAsia="en-US" w:bidi="ar-SA"/>
              </w:rPr>
              <w:t xml:space="preserve"> desconectadores de energía eléctrica con tarjetas clave en las habitaciones, aparatos eléctricos de alta eficiencia energética ( mínimo </w:t>
              <w:br/>
              <w:t>A +), etc.</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adoptar medidas para el ahorro de energía.</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medidas para el ahorro de energía.</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Dispone de dispositivos de ahorro de agua: grifos monomando, filtros de aire, cisternas de doble descarga o descarga interrumpida, etc.</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disponer de dispositivos de ahorro de agua.</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la lista de medidas tomadas por la industria agroalimentaria para ahorrar agua.</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disponer de contenedores de recogida selectiva y encargarse del adecuado tratamiento posterior.</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la visita a industria agroalimentaria debe cumplir </w:t>
      </w:r>
      <w:r>
        <w:rPr>
          <w:b/>
          <w:lang w:val="es-ES"/>
        </w:rPr>
        <w:t>3 de los requisitos recomendables</w:t>
      </w:r>
      <w:r>
        <w:rPr>
          <w:lang w:val="es-ES"/>
        </w:rPr>
        <w:t>, además de comprometerse como mínimo a llegar a cumplir hasta 7 del total de requisitos recomendables durante los 3 próximos años.</w:t>
      </w:r>
    </w:p>
    <w:p>
      <w:pPr>
        <w:pStyle w:val="Standard"/>
        <w:rPr>
          <w:sz w:val="26"/>
          <w:szCs w:val="26"/>
          <w:lang w:val="es-ES"/>
        </w:rPr>
      </w:pPr>
      <w:r>
        <w:rPr>
          <w:sz w:val="26"/>
          <w:szCs w:val="26"/>
          <w:lang w:val="es-ES"/>
        </w:rPr>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Sistemas de calidad ambiental</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E10 / Cuenta con una o diversas certificaciones de calidad/medioambientales (Q-Qualitat Turística, Travel Life, ISO 9001, ISO 14001, EMAS) o está en clubs de producto que incorporen requisitos de calidad y/o ambientales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la industria agroalimentaria tiene una o varias certificaciones de calidad/ medioambientales. Las industrias agroalimentarias que dispongan de certificación ISO 14001 i/o EMAS, obtienen directamente el derecho de adhesión a la marca mientras el certificado esté vigente, y siempre que cumplan los requisitos B y C, y los compromisos de adhesión a la marca MRB.</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 los certificados concedidos a la industria agroalimentaria y que estén en vigor actualmente.</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t>F / Accesibilidad sostenible (en caso de disponer de estacionamiento propio) y movilidad sostenible</w:t>
      </w:r>
    </w:p>
    <w:p>
      <w:pPr>
        <w:pStyle w:val="10Regular"/>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F11 / Dispone de aparcamiento para bicicletas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industria agroalimentaria dispone de estacionamiento propio para el público visitante, debe disponer de aparcamientos aptos para bicicletas.</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aparcamiento para bicicletas disponible en la  industria agroalimentaria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F12 / Dispone de al menos un punto de carga para vehículos eléctricos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industria agroalimentaria dispone de estacionamiento propio para el público visitante, debe disponer al menos de un punto de carga para vehículos eléctricos.</w:t>
            </w:r>
          </w:p>
        </w:tc>
      </w:tr>
      <w:tr>
        <w:trPr>
          <w:trHeight w:val="1151"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puntos de cara para vehículos eléctricos.</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G / Mejoras en comportamiento ambiental / Gestión ambiental</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G13 / Utiliza sistemas de alta eficiencia energética y/o generación renovable en la climatización y la generación de agua caliente (energía solar fotovoltaica, solar térmica, biomasa, aerotermia, eólica, geotermia,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disponer de sistemas de alta eficiencia energética y/o generación renovable destinada a la climatización y la generación de agua caliente.</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394"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sistemas de alta eficiencia energética y/o generación renovable de que dispone la  industria agroalimentaria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G14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debe tomar medidas para la reducción de la contaminación lumínica en las instalaciones.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para reducir la contaminación lumínica de la  industria agroalimentaria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tab/>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G15 / Los establecimientos aislados deben disponer de un dispositivo para el almacenamiento de agua de lluvia y su posterior reutilización.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industria agroalimentaria no está conectada al sistema de aguas municipal, debe disponer de un dispositivo para almacenar el agua de lluvia y su posterior aprovechamiento.</w:t>
            </w:r>
          </w:p>
        </w:tc>
      </w:tr>
      <w:tr>
        <w:trPr>
          <w:trHeight w:val="710"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sistema de almacenamiento de lluvia.</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G16 / Si dispone de jardín en el establecimiento, utiliza especies autóctonas y aplica medidas para reducir el consumo de agua: sistemas de riego de bajo consumo (goteo, exudación, etc.), temporizadores, lapilli,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industria agroalimentaria dispone de jardín en la propiedad, existen especies autóctonas y aplica medidas para reducir el consumo de agua.</w:t>
            </w:r>
          </w:p>
        </w:tc>
      </w:tr>
      <w:tr>
        <w:trPr>
          <w:trHeight w:val="710"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fotografías justificativas del jardín y la medidas que se toman para reducir el consumo de agua para regar.</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G17 / Tiene una política de reducción de pape utilizando soportes electrónicos (envío confirmación y facturas a correo electrónico…)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dispone de una política que sigue para la reducción de la utilización de papel en sus procesos habituales.</w:t>
            </w:r>
          </w:p>
        </w:tc>
      </w:tr>
      <w:tr>
        <w:trPr>
          <w:trHeight w:val="710"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política de reducción de papel.</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G18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prioriza la utilización de productos de limpieza biodegradables/ecológicos.</w:t>
            </w:r>
          </w:p>
        </w:tc>
      </w:tr>
      <w:tr>
        <w:trPr>
          <w:trHeight w:val="68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G19 / Utiliza sistema de depuración adecuado o está conectado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gestiona adecuadamente su saneamiento, de manera individualizada o conectada a la red de saneamiento municipal.</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w:t>
            </w:r>
            <w:r>
              <w:rPr>
                <w:rFonts w:eastAsia="" w:cs=""/>
                <w:kern w:val="0"/>
                <w:lang w:val="es-ES" w:eastAsia="en-US" w:bidi="ar-SA"/>
              </w:rPr>
              <w:t>s necesario explicar el sistema de depuración que utilizan e ilustrarlo con fotografía justificativa. En caso de estar conectada al saneamiento municipal, indicar a cual.</w:t>
            </w:r>
          </w:p>
        </w:tc>
      </w:tr>
      <w:tr>
        <w:trPr>
          <w:trHeight w:val="1214"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 ...</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H / Sistema de servicios y compra de productos</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H20 / En el caso de que se ofrezca, dispone de sistema de entrega de producto a domicilio con transporte sostenible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industria agroalimentaria ofrece el servicio de entrega de productos a domicilio, prioriza la utilización de transporte sostenible.</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con que medio de transporte sostenible realiza sus entregas a domicilio.</w:t>
            </w:r>
          </w:p>
        </w:tc>
      </w:tr>
      <w:tr>
        <w:trPr>
          <w:trHeight w:val="701"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 ...</w:t>
            </w:r>
          </w:p>
        </w:tc>
      </w:tr>
    </w:tbl>
    <w:p>
      <w:pPr>
        <w:pStyle w:val="06Subtitles"/>
        <w:rPr>
          <w:lang w:val="es-ES"/>
        </w:rPr>
      </w:pPr>
      <w:r>
        <w:rPr>
          <w:lang w:val="es-ES"/>
        </w:rPr>
      </w:r>
    </w:p>
    <w:p>
      <w:pPr>
        <w:pStyle w:val="06Subtitles"/>
        <w:rPr>
          <w:lang w:val="es-ES"/>
        </w:rPr>
      </w:pPr>
      <w:r>
        <w:rPr>
          <w:lang w:val="es-ES"/>
        </w:rPr>
        <w:t>I / Promoción/comercialización</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I21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inscrito en el catálogo de AGROXERXA.</w:t>
            </w:r>
          </w:p>
        </w:tc>
      </w:tr>
      <w:tr>
        <w:trPr>
          <w:trHeight w:val="818"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La industria agroalimentaria está inscrita en el catálogo de AGROXERXA con el nombre:</w:t>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____________________________________</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J / Apoyo al desarrollo local</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J22 / Ofrece servicio al menos durante 9 meses al año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ofrece los servicios de visitar su instalación durante al menos 9 meses al año.</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de qué fecha a qué fecha se realizan las visitas a la industria agroalimentaria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El servicio de visita se presta del ____ (día) de ___________ (mes) a ______ (día) de __________ (mes).</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J23 / Dispone de información en la página web y en los folletos informativos en catalàn.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industria agroalimentaria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la industria agroalimentaria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K1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K2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K3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K4 / Dispone de materiales editados por la RB en el establecimiento que informen a los clientes sobre productos iy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K5/Asistir a las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93">
                <wp:simplePos x="0" y="0"/>
                <wp:positionH relativeFrom="column">
                  <wp:posOffset>0</wp:posOffset>
                </wp:positionH>
                <wp:positionV relativeFrom="paragraph">
                  <wp:posOffset>635</wp:posOffset>
                </wp:positionV>
                <wp:extent cx="6514465" cy="635"/>
                <wp:effectExtent l="0" t="3175" r="0" b="3175"/>
                <wp:wrapNone/>
                <wp:docPr id="1" name="Straight Connector 7"/>
                <a:graphic xmlns:a="http://schemas.openxmlformats.org/drawingml/2006/main">
                  <a:graphicData uri="http://schemas.microsoft.com/office/word/2010/wordprocessingShape">
                    <wps:wsp>
                      <wps:cNvSpPr/>
                      <wps:spPr>
                        <a:xfrm>
                          <a:off x="0" y="0"/>
                          <a:ext cx="65145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05pt" to="512.9pt,0.05pt" ID="Straight Connector 7" stroked="t" o:allowincell="f" style="position:absolute">
                <v:stroke color="#d9d9d9" weight="6480" joinstyle="miter" endcap="flat"/>
                <v:fill o:detectmouseclick="t" on="false"/>
                <w10:wrap type="none"/>
              </v:line>
            </w:pict>
          </mc:Fallback>
        </mc:AlternateContent>
      </w:r>
    </w:p>
    <w:p>
      <w:pPr>
        <w:pStyle w:val="10Regular"/>
        <w:rPr>
          <w:lang w:val="es-ES"/>
        </w:rPr>
      </w:pPr>
      <w:r>
        <w:rPr>
          <w:lang w:val="es-ES"/>
        </w:rPr>
        <w:t>Asimismo, la agencia anima a cumplir el siguiente compromiso recomendable siempre que sea posible para promocionar la marca y el su establecimiento:</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K5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w:t>
            </w:r>
            <w:bookmarkStart w:id="0" w:name="_GoBack"/>
            <w:bookmarkEnd w:id="0"/>
            <w:r>
              <w:rPr>
                <w:rFonts w:eastAsia="" w:cs=""/>
                <w:kern w:val="0"/>
                <w:lang w:val="es-ES" w:eastAsia="en-US" w:bidi="ar-SA"/>
              </w:rPr>
              <w:t>iso.</w:t>
            </w:r>
          </w:p>
        </w:tc>
      </w:tr>
    </w:tbl>
    <w:p>
      <w:pPr>
        <w:pStyle w:val="06Subtitles"/>
        <w:spacing w:before="0" w:after="8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7180" cy="360680"/>
              <wp:effectExtent l="0" t="0" r="0" b="0"/>
              <wp:wrapNone/>
              <wp:docPr id="2" name="Marco1"/>
              <a:graphic xmlns:a="http://schemas.openxmlformats.org/drawingml/2006/main">
                <a:graphicData uri="http://schemas.microsoft.com/office/word/2010/wordprocessingShape">
                  <wps:wsp>
                    <wps:cNvSpPr/>
                    <wps:spPr>
                      <a:xfrm>
                        <a:off x="0" y="0"/>
                        <a:ext cx="29736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35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1680" cy="765175"/>
              <wp:effectExtent l="0" t="0" r="0" b="0"/>
              <wp:wrapNone/>
              <wp:docPr id="3" name="Marco3"/>
              <a:graphic xmlns:a="http://schemas.openxmlformats.org/drawingml/2006/main">
                <a:graphicData uri="http://schemas.microsoft.com/office/word/2010/wordprocessingShape">
                  <wps:wsp>
                    <wps:cNvSpPr/>
                    <wps:spPr>
                      <a:xfrm>
                        <a:off x="0" y="0"/>
                        <a:ext cx="741600" cy="76500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3" path="m0,0l-2147483645,0l-2147483645,-2147483646l0,-2147483646xe" stroked="f" o:allowincell="f" style="position:absolute;margin-left:456.55pt;margin-top:-17.5pt;width:58.35pt;height:60.2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4300" distR="114300" simplePos="0" locked="0" layoutInCell="0" allowOverlap="1" relativeHeight="91">
              <wp:simplePos x="0" y="0"/>
              <wp:positionH relativeFrom="column">
                <wp:posOffset>-32385</wp:posOffset>
              </wp:positionH>
              <wp:positionV relativeFrom="paragraph">
                <wp:posOffset>-101600</wp:posOffset>
              </wp:positionV>
              <wp:extent cx="4800600" cy="910590"/>
              <wp:effectExtent l="0" t="0" r="0" b="0"/>
              <wp:wrapSquare wrapText="bothSides"/>
              <wp:docPr id="4" name="Marco2"/>
              <a:graphic xmlns:a="http://schemas.openxmlformats.org/drawingml/2006/main">
                <a:graphicData uri="http://schemas.microsoft.com/office/word/2010/wordprocessingShape">
                  <wps:wsp>
                    <wps:cNvSpPr/>
                    <wps:spPr>
                      <a:xfrm>
                        <a:off x="0" y="0"/>
                        <a:ext cx="4800600" cy="910440"/>
                      </a:xfrm>
                      <a:prstGeom prst="rect">
                        <a:avLst/>
                      </a:prstGeom>
                      <a:noFill/>
                      <a:ln w="0">
                        <a:noFill/>
                      </a:ln>
                    </wps:spPr>
                    <wps:style>
                      <a:lnRef idx="0"/>
                      <a:fillRef idx="0"/>
                      <a:effectRef idx="0"/>
                      <a:fontRef idx="minor"/>
                    </wps:style>
                    <wps:txb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10Regular"/>
                            <w:rPr>
                              <w:lang w:val="ca-ES"/>
                            </w:rPr>
                          </w:pPr>
                          <w:r>
                            <w:rPr>
                              <w:lang w:val="ca-ES"/>
                            </w:rPr>
                          </w:r>
                        </w:p>
                        <w:p>
                          <w:pPr>
                            <w:pStyle w:val="10Regular"/>
                            <w:spacing w:before="80" w:after="80"/>
                            <w:rPr>
                              <w:rFonts w:eastAsia="Calibri" w:cs="Arial"/>
                              <w:color w:val="002B49"/>
                              <w:sz w:val="19"/>
                              <w:szCs w:val="19"/>
                              <w:lang w:val="es-ES"/>
                            </w:rPr>
                          </w:pPr>
                          <w:r>
                            <w:rPr>
                              <w:rFonts w:eastAsia="Calibri" w:cs="Arial"/>
                              <w:color w:val="002B49"/>
                              <w:sz w:val="19"/>
                              <w:szCs w:val="19"/>
                              <w:lang w:val="es-ES"/>
                            </w:rPr>
                          </w:r>
                        </w:p>
                      </w:txbxContent>
                    </wps:txbx>
                    <wps:bodyPr anchor="t">
                      <a:noAutofit/>
                    </wps:bodyPr>
                  </wps:wsp>
                </a:graphicData>
              </a:graphic>
            </wp:anchor>
          </w:drawing>
        </mc:Choice>
        <mc:Fallback>
          <w:pict>
            <v:rect id="shape_0" ID="Marco2" path="m0,0l-2147483645,0l-2147483645,-2147483646l0,-2147483646xe" stroked="f" o:allowincell="f" style="position:absolute;margin-left:-2.55pt;margin-top:-8pt;width:377.95pt;height:71.65pt;mso-wrap-style:square;v-text-anchor:top">
              <v:fill o:detectmouseclick="t" on="false"/>
              <v:stroke color="#3465a4" joinstyle="round" endcap="flat"/>
              <v:textbo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10Regular"/>
                      <w:rPr>
                        <w:lang w:val="ca-ES"/>
                      </w:rPr>
                    </w:pPr>
                    <w:r>
                      <w:rPr>
                        <w:lang w:val="ca-ES"/>
                      </w:rPr>
                    </w:r>
                  </w:p>
                  <w:p>
                    <w:pPr>
                      <w:pStyle w:val="10Regular"/>
                      <w:spacing w:before="80" w:after="80"/>
                      <w:rPr>
                        <w:rFonts w:eastAsia="Calibri" w:cs="Arial"/>
                        <w:color w:val="002B49"/>
                        <w:sz w:val="19"/>
                        <w:szCs w:val="19"/>
                        <w:lang w:val="es-ES"/>
                      </w:rPr>
                    </w:pPr>
                    <w:r>
                      <w:rPr>
                        <w:rFonts w:eastAsia="Calibri" w:cs="Arial"/>
                        <w:color w:val="002B49"/>
                        <w:sz w:val="19"/>
                        <w:szCs w:val="19"/>
                        <w:lang w:val="es-ES"/>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142875</wp:posOffset>
              </wp:positionV>
              <wp:extent cx="6514465" cy="635"/>
              <wp:effectExtent l="0" t="3175" r="0" b="3175"/>
              <wp:wrapNone/>
              <wp:docPr id="5" name="Straight Connector 11"/>
              <a:graphic xmlns:a="http://schemas.openxmlformats.org/drawingml/2006/main">
                <a:graphicData uri="http://schemas.microsoft.com/office/word/2010/wordprocessingShape">
                  <wps:wsp>
                    <wps:cNvSpPr/>
                    <wps:spPr>
                      <a:xfrm>
                        <a:off x="0" y="0"/>
                        <a:ext cx="65145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25pt" to="512.9pt,11.25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1870ce"/>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660de7"/>
    <w:pPr>
      <w:spacing w:lineRule="auto" w:line="276" w:before="0" w:after="140"/>
    </w:pPr>
    <w:rPr/>
  </w:style>
  <w:style w:type="paragraph" w:styleId="Lista">
    <w:name w:val="List"/>
    <w:basedOn w:val="Cuerpodetexto"/>
    <w:rsid w:val="00660de7"/>
    <w:pPr/>
    <w:rPr>
      <w:rFonts w:cs="Lucida Sans"/>
    </w:rPr>
  </w:style>
  <w:style w:type="paragraph" w:styleId="Leyenda" w:customStyle="1">
    <w:name w:val="Caption"/>
    <w:basedOn w:val="Normal"/>
    <w:qFormat/>
    <w:rsid w:val="00660de7"/>
    <w:pPr>
      <w:suppressLineNumbers/>
      <w:spacing w:before="120" w:after="120"/>
    </w:pPr>
    <w:rPr>
      <w:rFonts w:cs="Lucida Sans"/>
      <w:i/>
      <w:iCs/>
      <w:sz w:val="24"/>
      <w:szCs w:val="24"/>
    </w:rPr>
  </w:style>
  <w:style w:type="paragraph" w:styleId="Ndice" w:customStyle="1">
    <w:name w:val="Índice"/>
    <w:basedOn w:val="Normal"/>
    <w:qFormat/>
    <w:rsid w:val="00660de7"/>
    <w:pPr>
      <w:suppressLineNumbers/>
    </w:pPr>
    <w:rPr>
      <w:rFonts w:cs="Lucida Sans"/>
    </w:rPr>
  </w:style>
  <w:style w:type="paragraph" w:styleId="Ttulogeneral">
    <w:name w:val="Title"/>
    <w:basedOn w:val="Normal"/>
    <w:next w:val="Cuerpodetexto"/>
    <w:qFormat/>
    <w:rsid w:val="00660de7"/>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Contenidodelmarco" w:customStyle="1">
    <w:name w:val="Contenido del marco"/>
    <w:basedOn w:val="Normal"/>
    <w:qFormat/>
    <w:rsid w:val="00660de7"/>
    <w:pPr/>
    <w:rPr/>
  </w:style>
  <w:style w:type="paragraph" w:styleId="BalloonText">
    <w:name w:val="Balloon Text"/>
    <w:basedOn w:val="Normal"/>
    <w:link w:val="TextodegloboCar"/>
    <w:uiPriority w:val="99"/>
    <w:semiHidden/>
    <w:unhideWhenUsed/>
    <w:qFormat/>
    <w:rsid w:val="001870ce"/>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91AE-95EE-1247-9CA9-8C236725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LibreOffice/7.5.7.1$Windows_X86_64 LibreOffice_project/47eb0cf7efbacdee9b19ae25d6752381ede23126</Application>
  <AppVersion>15.0000</AppVersion>
  <Pages>13</Pages>
  <Words>2547</Words>
  <Characters>14309</Characters>
  <CharactersWithSpaces>16627</CharactersWithSpaces>
  <Paragraphs>234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2019-07-16T09:03:00Z</dcterms:created>
  <dc:creator>Microsoft Office User</dc:creator>
  <dc:description/>
  <dc:language>es-ES</dc:language>
  <cp:lastModifiedBy/>
  <cp:lastPrinted>2019-06-18T15:52:00Z</cp:lastPrinted>
  <dcterms:modified xsi:type="dcterms:W3CDTF">2025-05-06T12:30:51Z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