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color w:val="00AFAA"/>
          <w:szCs w:val="18"/>
          <w:lang w:val="es-ES"/>
        </w:rPr>
      </w:pPr>
      <w:r>
        <w:rPr>
          <w:color w:val="00AFAA"/>
          <w:szCs w:val="18"/>
          <w:lang w:val="es-ES"/>
        </w:rPr>
      </w:r>
    </w:p>
    <w:p>
      <w:pPr>
        <w:pStyle w:val="Head1"/>
        <w:numPr>
          <w:ilvl w:val="0"/>
          <w:numId w:val="0"/>
        </w:numPr>
        <w:ind w:left="0" w:hanging="0"/>
        <w:outlineLvl w:val="0"/>
        <w:rPr/>
      </w:pPr>
      <w:r>
        <w:rPr>
          <w:rStyle w:val="Strong"/>
          <w:rFonts w:cs="" w:ascii="Trebuchet MS" w:hAnsi="Trebuchet MS" w:cstheme="minorBidi"/>
          <w:bCs/>
          <w:color w:val="00AFAA"/>
          <w:sz w:val="20"/>
          <w:szCs w:val="20"/>
          <w:lang w:val="es-ES"/>
        </w:rPr>
        <w:t>CATEGORÍA 3</w:t>
      </w:r>
    </w:p>
    <w:p>
      <w:pPr>
        <w:pStyle w:val="Head1"/>
        <w:numPr>
          <w:ilvl w:val="0"/>
          <w:numId w:val="0"/>
        </w:numPr>
        <w:ind w:left="0" w:hanging="0"/>
        <w:outlineLvl w:val="0"/>
        <w:rPr>
          <w:lang w:val="es-ES"/>
        </w:rPr>
      </w:pPr>
      <w:r>
        <w:rPr>
          <w:rFonts w:ascii="Trebuchet MS" w:hAnsi="Trebuchet MS"/>
          <w:b/>
          <w:color w:val="002B49"/>
          <w:sz w:val="54"/>
          <w:szCs w:val="54"/>
          <w:lang w:val="es-ES"/>
        </w:rPr>
        <w:t>Empresas productoras de huerta</w:t>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3" w:type="dxa"/>
        <w:tblLayout w:type="fixed"/>
        <w:tblCellMar>
          <w:top w:w="0" w:type="dxa"/>
          <w:left w:w="111"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Nombre empresa productora de huerta: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Dirección de la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Núm. alta código RIA (Reg. general explotaciones agrarias):</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r>
    </w:tbl>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tbl>
      <w:tblPr>
        <w:tblStyle w:val="Tablaconcuadrcula"/>
        <w:tblW w:w="10192" w:type="dxa"/>
        <w:jc w:val="left"/>
        <w:tblInd w:w="113" w:type="dxa"/>
        <w:tblLayout w:type="fixed"/>
        <w:tblCellMar>
          <w:top w:w="0" w:type="dxa"/>
          <w:left w:w="111"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ascii="Trebuchet MS" w:hAnsi="Trebuchet MS"/>
                <w:color w:val="595959" w:themeColor="text1" w:themeTint="a6"/>
                <w:sz w:val="19"/>
                <w:szCs w:val="19"/>
                <w:lang w:val="es-ES"/>
              </w:rPr>
              <w:t xml:space="preserve">Si tiene alguna duda, siempre puede contactar con nosotros a través de un correo electrónico en la dirección </w:t>
            </w:r>
            <w:hyperlink r:id="rId2">
              <w:r>
                <w:rPr>
                  <w:rStyle w:val="EnlacedeInternet"/>
                  <w:rFonts w:ascii="Verdana" w:hAnsi="Verdana"/>
                  <w:color w:val="023F62"/>
                  <w:sz w:val="18"/>
                  <w:szCs w:val="18"/>
                  <w:lang w:val="es-ES"/>
                </w:rPr>
                <w:t>marca.biosfera@cime.es</w:t>
              </w:r>
            </w:hyperlink>
            <w:r>
              <w:rPr>
                <w:rFonts w:ascii="Trebuchet MS" w:hAnsi="Trebuchet MS"/>
                <w:color w:val="595959" w:themeColor="text1" w:themeTint="a6"/>
                <w:sz w:val="19"/>
                <w:szCs w:val="19"/>
                <w:lang w:val="es-ES"/>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r>
        <w:br w:type="page"/>
      </w:r>
    </w:p>
    <w:p>
      <w:pPr>
        <w:pStyle w:val="Normal"/>
        <w:rPr>
          <w:lang w:val="es-ES"/>
        </w:rPr>
      </w:pPr>
      <w:r>
        <w:rPr>
          <w:rFonts w:eastAsia="SimSun" w:cs="Lucida Sans" w:ascii="Verdana Pro" w:hAnsi="Verdana Pro"/>
          <w:b w:val="false"/>
          <w:bCs w:val="false"/>
          <w:color w:val="002B49"/>
          <w:kern w:val="2"/>
          <w:sz w:val="18"/>
          <w:szCs w:val="18"/>
          <w:lang w:val="es-ES" w:eastAsia="zh-CN" w:bidi="hi-IN"/>
        </w:rPr>
        <w:t xml:space="preserve">Para poder solicitar el uso de la marca y el logotipo </w:t>
      </w:r>
      <w:r>
        <w:rPr>
          <w:rFonts w:ascii="Verdana Pro" w:hAnsi="Verdana Pro"/>
          <w:b/>
          <w:color w:val="00AFAA"/>
          <w:sz w:val="18"/>
          <w:szCs w:val="18"/>
          <w:lang w:val="es-ES"/>
        </w:rPr>
        <w:t>“Menorca Reserva de Biosfera”</w:t>
      </w:r>
      <w:r>
        <w:rPr>
          <w:rFonts w:eastAsia="SimSun" w:cs="Lucida Sans" w:ascii="Verdana Pro" w:hAnsi="Verdana Pro"/>
          <w:b w:val="false"/>
          <w:bCs w:val="false"/>
          <w:color w:val="002B49"/>
          <w:kern w:val="2"/>
          <w:sz w:val="18"/>
          <w:szCs w:val="18"/>
          <w:lang w:val="es-ES" w:eastAsia="zh-CN" w:bidi="hi-IN"/>
        </w:rPr>
        <w:t>, la empresa productora de fruta debe cumplir los</w:t>
      </w:r>
      <w:r>
        <w:rPr>
          <w:rFonts w:eastAsia="SimSun" w:cs="Lucida Sans" w:ascii="Verdana Pro" w:hAnsi="Verdana Pro"/>
          <w:b/>
          <w:bCs/>
          <w:color w:val="002B49"/>
          <w:kern w:val="2"/>
          <w:sz w:val="18"/>
          <w:szCs w:val="18"/>
          <w:lang w:val="es-ES" w:eastAsia="zh-CN" w:bidi="hi-IN"/>
        </w:rPr>
        <w:t xml:space="preserve"> 8 requisitos obligatorios siguientes:</w:t>
      </w:r>
    </w:p>
    <w:p>
      <w:pPr>
        <w:pStyle w:val="Normal"/>
        <w:spacing w:lineRule="auto" w:line="276"/>
        <w:rPr>
          <w:b/>
          <w:bCs/>
          <w:color w:val="002B49"/>
          <w:lang w:val="es-ES"/>
        </w:rPr>
      </w:pPr>
      <w:r>
        <w:rPr>
          <w:b/>
          <w:bCs/>
          <w:color w:val="002B49"/>
          <w:lang w:val="es-ES"/>
        </w:rPr>
      </w:r>
    </w:p>
    <w:p>
      <w:pPr>
        <w:pStyle w:val="Normal"/>
        <w:rPr>
          <w:lang w:val="es-ES"/>
        </w:rPr>
      </w:pPr>
      <w:r>
        <w:rPr>
          <w:rFonts w:ascii="Trebuchet MS" w:hAnsi="Trebuchet MS"/>
          <w:b/>
          <w:color w:val="002B49"/>
          <w:sz w:val="40"/>
          <w:szCs w:val="40"/>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rPr>
          <w:lang w:val="es-ES"/>
        </w:rPr>
      </w:pPr>
      <w:r>
        <w:rPr>
          <w:rFonts w:cs="MinionPro-Regular" w:ascii="Trebuchet MS" w:hAnsi="Trebuchet MS"/>
          <w:b/>
          <w:bCs/>
          <w:color w:val="00AFAA"/>
          <w:sz w:val="22"/>
          <w:szCs w:val="22"/>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C2 / Productos hortícolas que procedan de terrenos de huerta ubicados en la isla de Menorca y estén clasificados y envasados dentro de la zona misma para su comercialización</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cosecha productos hortícolas procedentes de huertos situados en la isla. Además , la clasificación y el envasado debe realizarse en Menorca.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Listado de los productos hortícolas que cosecha la empresa productora de huerta que proceden de terrenos de huerta de Menorca, la clasificación y envasado de los cuales se realiza en la isla.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de huerta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de huerta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de huerta 3:</w:t>
            </w:r>
          </w:p>
        </w:tc>
      </w:tr>
    </w:tbl>
    <w:p>
      <w:pPr>
        <w:pStyle w:val="Standard"/>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Especies de huerta propias de Menorca a partir de plantaciones ubicadas en la reserva de biosfera de Menorca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huerta utiliza especies de huerta propias de Menorca.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Lista de les especies de huerta propias de Menorca que cosecha la empresa productora de huerta.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Variedad 1 (Especie):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Variedad 2 (Especie):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Variedad 3 (Especie):</w:t>
            </w:r>
          </w:p>
        </w:tc>
      </w:tr>
    </w:tbl>
    <w:p>
      <w:pPr>
        <w:pStyle w:val="Head1"/>
        <w:rPr>
          <w:szCs w:val="40"/>
          <w:lang w:val="es-ES"/>
        </w:rPr>
      </w:pPr>
      <w:r>
        <w:rPr>
          <w:szCs w:val="40"/>
          <w:lang w:val="es-ES"/>
        </w:rPr>
      </w:r>
    </w:p>
    <w:p>
      <w:pPr>
        <w:pStyle w:val="Head1"/>
        <w:rPr>
          <w:szCs w:val="40"/>
          <w:lang w:val="es-ES"/>
        </w:rPr>
      </w:pPr>
      <w:r>
        <w:rPr>
          <w:szCs w:val="40"/>
          <w:lang w:val="es-ES"/>
        </w:rPr>
      </w:r>
    </w:p>
    <w:p>
      <w:pPr>
        <w:pStyle w:val="Normal"/>
        <w:rPr>
          <w:lang w:val="es-ES"/>
        </w:rPr>
      </w:pPr>
      <w:r>
        <w:rPr>
          <w:rFonts w:cs="MinionPro-Regular" w:ascii="Trebuchet MS" w:hAnsi="Trebuchet MS"/>
          <w:b/>
          <w:bCs/>
          <w:color w:val="00AFAA"/>
          <w:sz w:val="22"/>
          <w:szCs w:val="22"/>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D4 / Cumple la normativa vigente en relación al uso sostenible de productos fitosanitarios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debe cumplir la normativa vigente en relación al  uso sostenible de productos fitosanitario.  Para eso debe llevar una gestión integrada de plagas, justificante de estar adscrito a una agrupación de defensa vegetal (ADV) o tener un asesor en control integral de plagas.</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número de carnet de usuario profesional de productos fitosanitarios.</w:t>
            </w:r>
          </w:p>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certificado de pertenencia a una ADV o certificado del asesor de la explotación que indique que cumple la normativa especial de gestión integrada de plagas.</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lineRule="auto" w:line="276" w:before="80" w:after="80"/>
              <w:jc w:val="left"/>
              <w:rPr>
                <w:rFonts w:eastAsia="" w:cs=""/>
                <w:kern w:val="0"/>
                <w:lang w:val="es-ES" w:eastAsia="en-US" w:bidi="ar-SA"/>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04Openfields"/>
        <w:rPr>
          <w:lang w:val="es-ES"/>
        </w:rPr>
      </w:pPr>
      <w:r>
        <w:rPr>
          <w:lang w:val="es-ES"/>
        </w:rPr>
        <w:t>Marcar con una “X” en caso afirmativo:</w:t>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574"/>
        <w:gridCol w:w="9505"/>
      </w:tblGrid>
      <w:tr>
        <w:trPr>
          <w:trHeight w:val="1034" w:hRule="atLeast"/>
          <w:cantSplit w:val="true"/>
        </w:trPr>
        <w:tc>
          <w:tcPr>
            <w:tcW w:w="574" w:type="dxa"/>
            <w:tcBorders>
              <w:top w:val="single" w:sz="4" w:space="0" w:color="D9D9D9"/>
              <w:left w:val="single" w:sz="2" w:space="0" w:color="D9D9D9"/>
              <w:bottom w:val="single" w:sz="2" w:space="0" w:color="D9D9D9"/>
              <w:right w:val="single" w:sz="4"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bCs/>
                <w:color w:val="002B49"/>
                <w:kern w:val="0"/>
                <w:szCs w:val="18"/>
                <w:highlight w:val="white"/>
                <w:lang w:val="es-ES" w:eastAsia="en-US" w:bidi="ar-SA"/>
              </w:rPr>
            </w:pPr>
            <w:r>
              <w:rPr>
                <w:rFonts w:eastAsia="" w:cs="" w:ascii="Trebuchet MS" w:hAnsi="Trebuchet MS"/>
                <w:bCs/>
                <w:color w:val="002B49"/>
                <w:kern w:val="0"/>
                <w:szCs w:val="18"/>
                <w:highlight w:val="white"/>
                <w:lang w:val="es-ES" w:eastAsia="en-US" w:bidi="ar-SA"/>
              </w:rPr>
            </w:r>
          </w:p>
        </w:tc>
        <w:tc>
          <w:tcPr>
            <w:tcW w:w="9505"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yle51"/>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Vigencia en el Uso de Productos Fitosanitarios por la sección de Agricultura del Departamento de Medio Ambiente y Reserva de Biosfera del Consell Insular de Menorca, y solicito que este requisito sea contrastado con esta sección.</w:t>
            </w:r>
          </w:p>
        </w:tc>
      </w:tr>
    </w:tbl>
    <w:p>
      <w:pPr>
        <w:pStyle w:val="04Openfields"/>
        <w:rPr>
          <w:lang w:val="es-ES"/>
        </w:rPr>
      </w:pPr>
      <w:r>
        <w:rPr>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D5 / Realiza seguimiento sobre el consumo de energía y agua (electricidad, gas, gasoil...)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indicar el seguimiento del consumo de energía y agua de la empresa productora de huerta de todo el último año.</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seguimiento del consumo de energía y agua de la empresa productora de huerta de todo el último año.</w:t>
            </w:r>
          </w:p>
        </w:tc>
      </w:tr>
      <w:tr>
        <w:trPr>
          <w:trHeight w:val="80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lineRule="auto" w:line="276" w:before="80" w:after="80"/>
              <w:jc w:val="left"/>
              <w:rPr>
                <w:rFonts w:eastAsia="" w:cs=""/>
                <w:kern w:val="0"/>
                <w:lang w:val="es-ES" w:eastAsia="en-US" w:bidi="ar-SA"/>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Tableinfo"/>
        <w:spacing w:lineRule="auto" w:line="276"/>
        <w:rPr>
          <w:rFonts w:ascii="Trebuchet MS" w:hAnsi="Trebuchet MS"/>
          <w:color w:val="153646"/>
          <w:sz w:val="18"/>
          <w:szCs w:val="18"/>
          <w:lang w:val="es-ES"/>
        </w:rPr>
      </w:pPr>
      <w:r>
        <w:rPr>
          <w:rFonts w:ascii="Trebuchet MS" w:hAnsi="Trebuchet MS"/>
          <w:color w:val="153646"/>
          <w:sz w:val="18"/>
          <w:szCs w:val="18"/>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D6 / Reemplaza las bombillas incandescentes y halógenas por otras de bajo consumo o LED</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huerta utiliza bombillas de bajo consumo o LED en toda la empresa.</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cuándo se realizó el cambio a bombilla de bajo consumo o LED y cuántas bombillas se cambiaron.</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Standard"/>
              <w:widowControl w:val="false"/>
              <w:spacing w:before="0" w:after="0"/>
              <w:jc w:val="left"/>
              <w:rPr>
                <w:sz w:val="20"/>
                <w:szCs w:val="24"/>
                <w:lang w:val="es-ES"/>
              </w:rPr>
            </w:pPr>
            <w:r>
              <w:rPr>
                <w:rFonts w:ascii="Trebuchet MS" w:hAnsi="Trebuchet MS"/>
                <w:i/>
                <w:color w:val="808080" w:themeColor="background1" w:themeShade="80"/>
                <w:sz w:val="18"/>
                <w:szCs w:val="18"/>
                <w:lang w:val="es-ES"/>
              </w:rPr>
              <w:t>Texto explicativo…</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Tableinfo"/>
        <w:spacing w:lineRule="auto" w:line="276"/>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Adopta medidas para el ahorro de luz: interruptores temporizados, células de iluminación automática...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la lista de medidas tomadas por la empresa productora de huerta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Dispone de dispositivos de ahorro de agua: grifos monomando, filtros de aire, cisternas de doble descarga o descarga interrumpida, etc.</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debe disponer de dispositivos de ahorro de agua.</w:t>
            </w:r>
          </w:p>
        </w:tc>
      </w:tr>
      <w:tr>
        <w:trPr>
          <w:trHeight w:val="53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i/>
                <w:iCs/>
                <w:kern w:val="0"/>
                <w:lang w:val="es-ES" w:eastAsia="en-US" w:bidi="ar-SA"/>
              </w:rPr>
              <w:t>Es necesario</w:t>
            </w:r>
            <w:r>
              <w:rPr>
                <w:rFonts w:eastAsia="" w:cs=""/>
                <w:i/>
                <w:iCs/>
                <w:kern w:val="0"/>
                <w:lang w:val="es-ES" w:eastAsia="en-US" w:bidi="ar-SA"/>
              </w:rPr>
              <w:t xml:space="preserve"> adjuntar la lista de medidas tomadas por la empresa productora de</w:t>
            </w:r>
            <w:r>
              <w:rPr>
                <w:rFonts w:eastAsia="" w:cs=""/>
                <w:kern w:val="0"/>
                <w:lang w:val="es-ES" w:eastAsia="en-US" w:bidi="ar-SA"/>
              </w:rPr>
              <w:t xml:space="preserve"> huerta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D9 / Prioriza materiales reciclados, reutilizables y/o reciclables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eastAsia="en-US" w:bidi="ar-SA"/>
              </w:rPr>
            </w:pPr>
            <w:r>
              <w:rPr>
                <w:lang w:val="es-ES" w:eastAsia="en-US" w:bidi="ar-SA"/>
              </w:rPr>
              <w:t>La empresa productora de huerta debe utilizar siempre que sea posible materiales reciclados, reutilizables y/o reciclables.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como  la empresa prioriza la utilización de materiales reciclados, reutilizables y/o reciclables.</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Standard"/>
              <w:widowControl w:val="false"/>
              <w:spacing w:before="0" w:after="0"/>
              <w:jc w:val="left"/>
              <w:rPr>
                <w:sz w:val="20"/>
                <w:szCs w:val="24"/>
                <w:lang w:val="es-ES"/>
              </w:rPr>
            </w:pPr>
            <w:r>
              <w:rPr>
                <w:rFonts w:ascii="Trebuchet MS" w:hAnsi="Trebuchet MS"/>
                <w:i/>
                <w:color w:val="808080" w:themeColor="background1" w:themeShade="80"/>
                <w:sz w:val="18"/>
                <w:szCs w:val="18"/>
                <w:lang w:val="es-ES"/>
              </w:rPr>
              <w:t>Texto explicativo</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lineRule="auto" w:line="276" w:before="80" w:after="80"/>
              <w:jc w:val="left"/>
              <w:rPr>
                <w:rFonts w:eastAsia="" w:cs=""/>
                <w:kern w:val="0"/>
                <w:lang w:val="es-ES" w:eastAsia="en-US" w:bidi="ar-SA"/>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D10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debe disponer de contenedores de recogida selectiva y encargarse del adecuado tratamiento posterior.</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fotografías justificativas de los contenedores de reciclaje de residuos. Especialmente se deben adjuntar los últimos albaranes de recogida de SIGFITO i PLÁSTICOS AGRARIOS.</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lineRule="auto" w:line="276" w:before="80" w:after="80"/>
              <w:jc w:val="left"/>
              <w:rPr>
                <w:rFonts w:eastAsia="" w:cs=""/>
                <w:kern w:val="0"/>
                <w:lang w:val="es-ES" w:eastAsia="en-US" w:bidi="ar-SA"/>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Standard"/>
        <w:rPr>
          <w:color w:val="000000"/>
          <w:sz w:val="21"/>
          <w:szCs w:val="21"/>
          <w:lang w:val="es-ES"/>
        </w:rPr>
      </w:pPr>
      <w:r>
        <w:rPr>
          <w:color w:val="000000"/>
          <w:sz w:val="21"/>
          <w:szCs w:val="21"/>
          <w:lang w:val="es-ES"/>
        </w:rPr>
      </w:r>
    </w:p>
    <w:p>
      <w:pPr>
        <w:pStyle w:val="04Openfields"/>
        <w:rPr>
          <w:lang w:val="es-ES"/>
        </w:rPr>
      </w:pPr>
      <w:r>
        <w:rPr>
          <w:lang w:val="es-ES"/>
        </w:rPr>
      </w:r>
    </w:p>
    <w:p>
      <w:pPr>
        <w:pStyle w:val="04Openfields"/>
        <w:rPr>
          <w:lang w:val="es-ES"/>
        </w:rPr>
      </w:pPr>
      <w:r>
        <w:rPr>
          <w:lang w:val="es-ES"/>
        </w:rPr>
      </w:r>
    </w:p>
    <w:p>
      <w:pPr>
        <w:pStyle w:val="04Openfields"/>
        <w:rPr>
          <w:lang w:val="es-ES"/>
        </w:rPr>
      </w:pPr>
      <w:r>
        <w:rPr>
          <w:lang w:val="es-ES"/>
        </w:rPr>
      </w:r>
    </w:p>
    <w:p>
      <w:pPr>
        <w:pStyle w:val="04Openfields"/>
        <w:rPr>
          <w:lang w:val="es-ES"/>
        </w:rPr>
      </w:pPr>
      <w:r>
        <w:rPr>
          <w:lang w:val="es-ES"/>
        </w:rPr>
        <w:t>Marcar con una “X” en caso afirmativo:</w:t>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574"/>
        <w:gridCol w:w="9505"/>
      </w:tblGrid>
      <w:tr>
        <w:trPr>
          <w:trHeight w:val="1034" w:hRule="atLeast"/>
          <w:cantSplit w:val="true"/>
        </w:trPr>
        <w:tc>
          <w:tcPr>
            <w:tcW w:w="574" w:type="dxa"/>
            <w:tcBorders>
              <w:top w:val="single" w:sz="4" w:space="0" w:color="D9D9D9"/>
              <w:left w:val="single" w:sz="2" w:space="0" w:color="D9D9D9"/>
              <w:bottom w:val="single" w:sz="2" w:space="0" w:color="D9D9D9"/>
              <w:right w:val="single" w:sz="4"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bCs/>
                <w:color w:val="002B49"/>
                <w:kern w:val="0"/>
                <w:szCs w:val="18"/>
                <w:highlight w:val="white"/>
                <w:lang w:val="es-ES" w:eastAsia="en-US" w:bidi="ar-SA"/>
              </w:rPr>
            </w:pPr>
            <w:r>
              <w:rPr>
                <w:rFonts w:eastAsia="" w:cs="" w:ascii="Trebuchet MS" w:hAnsi="Trebuchet MS"/>
                <w:bCs/>
                <w:color w:val="002B49"/>
                <w:kern w:val="0"/>
                <w:szCs w:val="18"/>
                <w:highlight w:val="white"/>
                <w:lang w:val="es-ES" w:eastAsia="en-US" w:bidi="ar-SA"/>
              </w:rPr>
            </w:r>
          </w:p>
        </w:tc>
        <w:tc>
          <w:tcPr>
            <w:tcW w:w="9505"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yle51"/>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Vigencia en el Uso de Productos Fitosanitarios por la sección de Agricultura del Departamento de Medio Ambiente y Reserva de Biosfera del Consell Insular de Menorca, y solicito que este requisito sea contrastado con esta sección.</w:t>
            </w:r>
          </w:p>
        </w:tc>
      </w:tr>
    </w:tbl>
    <w:p>
      <w:pPr>
        <w:pStyle w:val="Standard"/>
        <w:spacing w:lineRule="auto" w:line="276"/>
        <w:rPr>
          <w:rFonts w:ascii="Trebuchet MS" w:hAnsi="Trebuchet MS" w:eastAsia="" w:cs="" w:cstheme="minorBidi" w:eastAsiaTheme="minorEastAsia"/>
          <w:color w:val="153646"/>
          <w:kern w:val="0"/>
          <w:szCs w:val="20"/>
          <w:lang w:val="es-ES" w:eastAsia="en-US" w:bidi="ar-SA"/>
        </w:rPr>
      </w:pPr>
      <w:r>
        <w:rPr>
          <w:rFonts w:eastAsia="" w:cs="" w:cstheme="minorBidi" w:eastAsiaTheme="minorEastAsia" w:ascii="Trebuchet MS" w:hAnsi="Trebuchet MS"/>
          <w:color w:val="153646"/>
          <w:kern w:val="0"/>
          <w:szCs w:val="20"/>
          <w:lang w:val="es-ES" w:eastAsia="en-US" w:bidi="ar-SA"/>
        </w:rPr>
      </w:r>
    </w:p>
    <w:p>
      <w:pPr>
        <w:pStyle w:val="Standard"/>
        <w:spacing w:lineRule="auto" w:line="276"/>
        <w:rPr>
          <w:rFonts w:ascii="Trebuchet MS" w:hAnsi="Trebuchet MS" w:eastAsia="" w:cs="" w:cstheme="minorBidi" w:eastAsiaTheme="minorEastAsia"/>
          <w:color w:val="153646"/>
          <w:kern w:val="0"/>
          <w:szCs w:val="20"/>
          <w:lang w:val="es-ES" w:eastAsia="en-US" w:bidi="ar-SA"/>
        </w:rPr>
      </w:pPr>
      <w:r>
        <w:rPr>
          <w:rFonts w:eastAsia="" w:cs="" w:cstheme="minorBidi" w:eastAsiaTheme="minorEastAsia" w:ascii="Trebuchet MS" w:hAnsi="Trebuchet MS"/>
          <w:color w:val="153646"/>
          <w:kern w:val="0"/>
          <w:szCs w:val="20"/>
          <w:lang w:val="es-ES" w:eastAsia="en-US" w:bidi="ar-SA"/>
        </w:rPr>
      </w:r>
    </w:p>
    <w:p>
      <w:pPr>
        <w:pStyle w:val="Standard"/>
        <w:spacing w:lineRule="auto" w:line="276"/>
        <w:rPr>
          <w:lang w:val="es-ES"/>
        </w:rPr>
      </w:pPr>
      <w:r>
        <w:rPr>
          <w:rFonts w:eastAsia="" w:cs="" w:ascii="Trebuchet MS" w:hAnsi="Trebuchet MS" w:cstheme="minorBidi" w:eastAsiaTheme="minorEastAsia"/>
          <w:color w:val="153646"/>
          <w:kern w:val="0"/>
          <w:szCs w:val="20"/>
          <w:lang w:val="es-ES" w:eastAsia="en-US" w:bidi="ar-SA"/>
        </w:rPr>
        <w:t xml:space="preserve">Para poder solicitar inicialmente el uso de la marca y el logotipo </w:t>
      </w:r>
      <w:r>
        <w:rPr>
          <w:rFonts w:ascii="Verdana Pro" w:hAnsi="Verdana Pro"/>
          <w:b/>
          <w:color w:val="00AFAA"/>
          <w:lang w:val="es-ES"/>
        </w:rPr>
        <w:t>“Menorca Reserva de Biosfera”</w:t>
      </w:r>
      <w:r>
        <w:rPr>
          <w:rFonts w:eastAsia="" w:cs="" w:ascii="Trebuchet MS" w:hAnsi="Trebuchet MS" w:cstheme="minorBidi" w:eastAsiaTheme="minorEastAsia"/>
          <w:color w:val="153646"/>
          <w:kern w:val="0"/>
          <w:szCs w:val="20"/>
          <w:lang w:val="es-ES" w:eastAsia="en-US" w:bidi="ar-SA"/>
        </w:rPr>
        <w:t xml:space="preserve">, la empresa productora de huerta debe cumplir 3 de los requisitos recomendables, además de comprometerse como mínimo a llegar a cumplir </w:t>
      </w:r>
      <w:r>
        <w:rPr>
          <w:rFonts w:eastAsia="" w:cs="" w:ascii="Trebuchet MS" w:hAnsi="Trebuchet MS" w:cstheme="minorBidi" w:eastAsiaTheme="minorEastAsia"/>
          <w:b/>
          <w:bCs/>
          <w:color w:val="153646"/>
          <w:kern w:val="0"/>
          <w:szCs w:val="20"/>
          <w:lang w:val="es-ES" w:eastAsia="en-US" w:bidi="ar-SA"/>
        </w:rPr>
        <w:t>hasta 6 del total</w:t>
      </w:r>
      <w:r>
        <w:rPr>
          <w:rFonts w:eastAsia="" w:cs="" w:ascii="Trebuchet MS" w:hAnsi="Trebuchet MS" w:cstheme="minorBidi" w:eastAsiaTheme="minorEastAsia"/>
          <w:color w:val="153646"/>
          <w:kern w:val="0"/>
          <w:szCs w:val="20"/>
          <w:lang w:val="es-ES" w:eastAsia="en-US" w:bidi="ar-SA"/>
        </w:rPr>
        <w:t xml:space="preserve"> de requisitos recomendables </w:t>
      </w:r>
      <w:r>
        <w:rPr>
          <w:rFonts w:eastAsia="" w:cs="" w:ascii="Trebuchet MS" w:hAnsi="Trebuchet MS" w:cstheme="minorBidi" w:eastAsiaTheme="minorEastAsia"/>
          <w:b/>
          <w:color w:val="153646"/>
          <w:kern w:val="0"/>
          <w:szCs w:val="20"/>
          <w:lang w:val="es-ES" w:eastAsia="en-US" w:bidi="ar-SA"/>
        </w:rPr>
        <w:t>durante los próximos 3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Actividades de la empresa</w:t>
        <w:tab/>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E11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debe utilizar productos ecológicos certificados por el Consell Balear de Producción Ecológica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indicar listado de productos ecológicos certificados por CBPAE a la empresa productora de huerta, adjuntando etiqueta de la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E12 / Producción integrada en el caso de especies que tengan regulada esta modalidad de producción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huerta debe utilizar la producción integrada cuando produce huerta de especies reguladas para esta modalidad de producción.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845"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Explicación del proceso de producción integrada que sigue la empresa productora de huerta.</w:t>
            </w:r>
          </w:p>
        </w:tc>
      </w:tr>
      <w:tr>
        <w:trPr>
          <w:trHeight w:val="172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i/>
                <w:color w:val="808080" w:themeColor="background1" w:themeShade="80"/>
                <w:kern w:val="0"/>
                <w:sz w:val="17"/>
                <w:lang w:val="es-ES" w:eastAsia="en-US" w:bidi="ar-SA"/>
              </w:rPr>
              <w:t>Texto explicativo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E13 / Mantenimiento o recuperación de variedades tradicionales de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huerta debe priorizar el mantenimiento y recuperación de variedades tradicionales de huerta.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746"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que sigue la empresa productora de huerta para mantener y recuperar variedades de huerta tradicionales de Menorca.</w:t>
            </w:r>
          </w:p>
        </w:tc>
      </w:tr>
      <w:tr>
        <w:trPr>
          <w:trHeight w:val="172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bl>
    <w:p>
      <w:pPr>
        <w:pStyle w:val="Normal"/>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E14 / Mantenimiento del suelo con cubierta verde permanente y/o incorporación de los restos de poda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mantiene de forma sostenible tierra con cubierta permanente y/o incorporación de los restos de poda.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746"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que sigue la empresa productora de huerta para mantener el suelo y adjuntar fotografía justificativa.</w:t>
            </w:r>
          </w:p>
        </w:tc>
      </w:tr>
      <w:tr>
        <w:trPr>
          <w:trHeight w:val="172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E15 /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huerta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117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copia del acuerdo de custodia o contrato territorial.</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bookmarkStart w:id="0" w:name="__DdeLink__1751_1521682105"/>
            <w:r>
              <w:rPr>
                <w:rFonts w:eastAsia="" w:cs="" w:ascii="Trebuchet MS" w:hAnsi="Trebuchet MS"/>
                <w:i/>
                <w:color w:val="808080" w:themeColor="background1" w:themeShade="80"/>
                <w:kern w:val="0"/>
                <w:sz w:val="18"/>
                <w:szCs w:val="18"/>
                <w:lang w:val="es-ES" w:eastAsia="en-US" w:bidi="ar-SA"/>
              </w:rPr>
              <w:t>Indicar aquí si se adjunta como anexo.</w:t>
            </w:r>
            <w:bookmarkEnd w:id="0"/>
          </w:p>
        </w:tc>
      </w:tr>
    </w:tbl>
    <w:p>
      <w:pPr>
        <w:pStyle w:val="Normal"/>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I16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está inscrita en el catálogo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Normal"/>
              <w:widowControl w:val="false"/>
              <w:suppressAutoHyphens w:val="true"/>
              <w:jc w:val="left"/>
              <w:rPr>
                <w:rFonts w:eastAsia="" w:cs=""/>
                <w:kern w:val="0"/>
                <w:sz w:val="20"/>
                <w:lang w:val="es-ES" w:eastAsia="en-US" w:bidi="ar-SA"/>
              </w:rPr>
            </w:pPr>
            <w:r>
              <w:rPr>
                <w:rFonts w:eastAsia="" w:cs="" w:ascii="Trebuchet MS" w:hAnsi="Trebuchet MS"/>
                <w:i/>
                <w:color w:val="808080" w:themeColor="background1" w:themeShade="80"/>
                <w:kern w:val="0"/>
                <w:sz w:val="17"/>
                <w:lang w:val="es-ES" w:eastAsia="en-US" w:bidi="ar-SA"/>
              </w:rPr>
              <w:t>La empresa productora de huerta está inscrita en el catálogo de AGROXERXA con el nombre:</w:t>
            </w:r>
          </w:p>
          <w:p>
            <w:pPr>
              <w:pStyle w:val="Normal"/>
              <w:widowControl w:val="false"/>
              <w:suppressAutoHyphens w:val="true"/>
              <w:spacing w:before="40" w:after="80"/>
              <w:jc w:val="left"/>
              <w:rPr>
                <w:rFonts w:ascii="Trebuchet MS" w:hAnsi="Trebuchet MS" w:eastAsia="" w:cs=""/>
                <w:i/>
                <w:i/>
                <w:color w:val="808080" w:themeColor="background1" w:themeShade="80"/>
                <w:kern w:val="0"/>
                <w:sz w:val="20"/>
                <w:lang w:val="es-ES" w:eastAsia="en-US" w:bidi="ar-SA"/>
              </w:rPr>
            </w:pPr>
            <w:r>
              <w:rPr>
                <w:rFonts w:eastAsia="" w:cs="" w:ascii="Trebuchet MS" w:hAnsi="Trebuchet MS"/>
                <w:i/>
                <w:color w:val="808080" w:themeColor="background1" w:themeShade="80"/>
                <w:kern w:val="0"/>
                <w:sz w:val="20"/>
                <w:lang w:val="es-ES" w:eastAsia="en-US" w:bidi="ar-SA"/>
              </w:rPr>
            </w:r>
          </w:p>
        </w:tc>
      </w:tr>
    </w:tbl>
    <w:p>
      <w:pPr>
        <w:pStyle w:val="06Subtitles"/>
        <w:rPr>
          <w:rFonts w:cs="" w:cstheme="minorBidi"/>
          <w:b w:val="false"/>
          <w:bCs w:val="false"/>
          <w:color w:val="153646"/>
          <w:sz w:val="18"/>
          <w:szCs w:val="20"/>
          <w:lang w:val="es-ES"/>
        </w:rPr>
      </w:pPr>
      <w:r>
        <w:rPr>
          <w:rFonts w:cs="" w:cstheme="minorBidi"/>
          <w:b w:val="false"/>
          <w:bCs w:val="false"/>
          <w:color w:val="153646"/>
          <w:sz w:val="18"/>
          <w:szCs w:val="20"/>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E17 / Efectúa venta de proximidad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vende sus productos en la isla de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Justificación: Lista de comercios, mercados o espacios agroalimentarios en los cuales vende sus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Comercio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Comercio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p>
      <w:pPr>
        <w:pStyle w:val="06Subtitles"/>
        <w:rPr>
          <w:lang w:val="es-ES"/>
        </w:rPr>
      </w:pPr>
      <w:r>
        <w:rPr>
          <w:lang w:val="es-ES"/>
        </w:rPr>
      </w:r>
    </w:p>
    <w:p>
      <w:pPr>
        <w:pStyle w:val="Normal"/>
        <w:rPr>
          <w:rFonts w:ascii="Trebuchet MS" w:hAnsi="Trebuchet MS" w:cs="MinionPro-Regular"/>
          <w:b/>
          <w:bCs/>
          <w:color w:val="00AFAA"/>
          <w:sz w:val="22"/>
          <w:szCs w:val="22"/>
        </w:rPr>
      </w:pPr>
      <w:r>
        <w:rPr>
          <w:rFonts w:cs="MinionPro-Regular" w:ascii="Trebuchet MS" w:hAnsi="Trebuchet MS"/>
          <w:b/>
          <w:bCs/>
          <w:color w:val="00AFAA"/>
          <w:sz w:val="22"/>
          <w:szCs w:val="22"/>
        </w:rPr>
      </w:r>
    </w:p>
    <w:p>
      <w:pPr>
        <w:pStyle w:val="Normal"/>
        <w:rPr>
          <w:rFonts w:ascii="Trebuchet MS" w:hAnsi="Trebuchet MS" w:cs="MinionPro-Regular"/>
          <w:b/>
          <w:bCs/>
          <w:color w:val="00AFAA"/>
          <w:sz w:val="22"/>
          <w:szCs w:val="22"/>
        </w:rPr>
      </w:pPr>
      <w:r>
        <w:rPr>
          <w:rFonts w:cs="MinionPro-Regular" w:ascii="Trebuchet MS" w:hAnsi="Trebuchet MS"/>
          <w:b/>
          <w:bCs/>
          <w:color w:val="00AFAA"/>
          <w:sz w:val="22"/>
          <w:szCs w:val="22"/>
        </w:rPr>
      </w:r>
    </w:p>
    <w:p>
      <w:pPr>
        <w:pStyle w:val="Normal"/>
        <w:rPr>
          <w:rFonts w:ascii="Trebuchet MS" w:hAnsi="Trebuchet MS" w:cs="MinionPro-Regular"/>
          <w:b/>
          <w:bCs/>
          <w:color w:val="00AFAA"/>
          <w:sz w:val="22"/>
          <w:szCs w:val="22"/>
        </w:rPr>
      </w:pPr>
      <w:r>
        <w:rPr>
          <w:rFonts w:cs="MinionPro-Regular" w:ascii="Trebuchet MS" w:hAnsi="Trebuchet MS"/>
          <w:b/>
          <w:bCs/>
          <w:color w:val="00AFAA"/>
          <w:sz w:val="22"/>
          <w:szCs w:val="22"/>
        </w:rPr>
      </w:r>
    </w:p>
    <w:p>
      <w:pPr>
        <w:pStyle w:val="Normal"/>
        <w:rPr>
          <w:rFonts w:ascii="Trebuchet MS" w:hAnsi="Trebuchet MS" w:cs="MinionPro-Regular"/>
          <w:b/>
          <w:bCs/>
          <w:color w:val="00AFAA"/>
          <w:sz w:val="22"/>
          <w:szCs w:val="22"/>
        </w:rPr>
      </w:pPr>
      <w:r>
        <w:rPr>
          <w:rFonts w:cs="MinionPro-Regular" w:ascii="Trebuchet MS" w:hAnsi="Trebuchet MS"/>
          <w:b/>
          <w:bCs/>
          <w:color w:val="00AFAA"/>
          <w:sz w:val="22"/>
          <w:szCs w:val="22"/>
        </w:rPr>
      </w:r>
    </w:p>
    <w:p>
      <w:pPr>
        <w:pStyle w:val="Normal"/>
        <w:rPr>
          <w:lang w:val="es-ES"/>
        </w:rPr>
      </w:pPr>
      <w:r>
        <w:rPr>
          <w:rFonts w:cs="MinionPro-Regular" w:ascii="Trebuchet MS" w:hAnsi="Trebuchet MS"/>
          <w:b/>
          <w:bCs/>
          <w:color w:val="00AFAA"/>
          <w:sz w:val="22"/>
          <w:szCs w:val="22"/>
          <w:lang w:val="es-ES"/>
        </w:rPr>
        <w:t>F / Mejoras en comportamiento ambiental / Gestión ambiental</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F18 / Uso eficiente del agua de riego, utilizando sistemas de riego localizado, apoyándose en un sistema de cálculo de las necesidades de agua de cultivo o aplicando estrategias de riego deficitario.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realiza un uso eficiente del agua de riego.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Listado de las medidas que la empresa productora de huerta sigue para hacer un uso eficiente del agua de regadío.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3:</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4:</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5:</w:t>
            </w:r>
          </w:p>
        </w:tc>
      </w:tr>
    </w:tbl>
    <w:p>
      <w:pPr>
        <w:pStyle w:val="Head1"/>
        <w:keepNext w:val="true"/>
        <w:keepLines/>
        <w:rPr>
          <w:color w:val="00AFAA"/>
          <w:sz w:val="24"/>
          <w:szCs w:val="24"/>
          <w:lang w:val="es-ES"/>
        </w:rPr>
      </w:pPr>
      <w:r>
        <w:rPr>
          <w:color w:val="00AFAA"/>
          <w:sz w:val="24"/>
          <w:szCs w:val="24"/>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F19 / Utiliza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debe disponer de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i/>
                <w:iCs/>
                <w:kern w:val="0"/>
                <w:lang w:val="es-ES" w:eastAsia="en-US" w:bidi="ar-SA"/>
              </w:rPr>
              <w:t>Indicar lista de equipos de cogeneración o sistemas de aprovechamiento de energías renovables de que dispone la empresa productora de huerta.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F20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debe tomar medidas para la reducción de la contaminación lumínica en las explotación.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medidas para reducir la contaminación lumínica de la empresa productora de huerta.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MS Mincho" w:cs="" w:ascii="Trebuchet MS" w:hAnsi="Trebuchet MS"/>
                <w:i/>
                <w:color w:val="808080" w:themeColor="background1" w:themeShade="80"/>
                <w:kern w:val="0"/>
                <w:sz w:val="18"/>
                <w:szCs w:val="18"/>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MS Mincho" w:cs="" w:ascii="Trebuchet MS" w:hAnsi="Trebuchet MS"/>
                <w:i/>
                <w:color w:val="808080" w:themeColor="background1" w:themeShade="80"/>
                <w:kern w:val="0"/>
                <w:sz w:val="18"/>
                <w:szCs w:val="18"/>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03Tableregular"/>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F21 / Utiliza sistema de depuración adecuado o está conectada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gestiona adecuadamente su saneamiento, de forma individualizada o conectada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sz w:val="18"/>
                <w:szCs w:val="18"/>
                <w:lang w:val="es-ES" w:eastAsia="zh-TW"/>
              </w:rPr>
              <w:t>Marcar con una X esta casilla si asume el compromiso.</w:t>
            </w:r>
          </w:p>
        </w:tc>
      </w:tr>
      <w:tr>
        <w:trPr>
          <w:trHeight w:val="53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0" w:cs="0" w:ascii="Trebuchet MS" w:hAnsi="Trebuchet MS"/>
                <w:color w:val="153646"/>
                <w:kern w:val="0"/>
                <w:sz w:val="18"/>
                <w:lang w:val="es-ES" w:eastAsia="en-US" w:bidi="ar-SA"/>
              </w:rPr>
              <w:t>Es necesario</w:t>
            </w:r>
            <w:r>
              <w:rPr>
                <w:rFonts w:eastAsia="" w:cs="" w:ascii="Trebuchet MS" w:hAnsi="Trebuchet MS"/>
                <w:color w:val="153646"/>
                <w:kern w:val="0"/>
                <w:sz w:val="18"/>
                <w:lang w:val="es-ES" w:eastAsia="en-US" w:bidi="ar-SA"/>
              </w:rPr>
              <w:t xml:space="preserve"> explicar sistema de depuración que utiliza e ilustrarlo con fotografía justificativa. En caso de estar conectado a saneamiento municipal, indicar cómo es.</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03Tableregular"/>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F22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 xml:space="preserve">La </w:t>
            </w:r>
            <w:r>
              <w:rPr>
                <w:rFonts w:eastAsia="" w:cs=""/>
                <w:kern w:val="0"/>
                <w:lang w:val="es-ES" w:eastAsia="en-US" w:bidi="ar-SA"/>
              </w:rPr>
              <w:t>empresa</w:t>
            </w:r>
            <w:r>
              <w:rPr>
                <w:rFonts w:eastAsia="" w:cs=""/>
                <w:kern w:val="0"/>
                <w:lang w:val="es-ES" w:eastAsia="en-US" w:bidi="ar-SA"/>
              </w:rPr>
              <w:t xml:space="preserve">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03Tableregular"/>
        <w:rPr>
          <w:lang w:val="es-ES"/>
        </w:rPr>
      </w:pPr>
      <w:r>
        <w:rPr>
          <w:lang w:val="es-ES"/>
        </w:rPr>
      </w:r>
    </w:p>
    <w:p>
      <w:pPr>
        <w:pStyle w:val="03Tableregular"/>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F23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huerta prioriza la utilización de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03Tableregular"/>
        <w:rPr>
          <w:lang w:val="es-ES"/>
        </w:rPr>
      </w:pPr>
      <w:r>
        <w:rPr>
          <w:lang w:val="es-ES"/>
        </w:rPr>
      </w:r>
    </w:p>
    <w:p>
      <w:pPr>
        <w:pStyle w:val="06Subtitles"/>
        <w:rPr>
          <w:lang w:val="es-ES"/>
        </w:rPr>
      </w:pPr>
      <w:r>
        <w:rPr>
          <w:rFonts w:cs="" w:cstheme="minorBidi"/>
          <w:b w:val="false"/>
          <w:bCs w:val="false"/>
          <w:color w:val="153646"/>
          <w:sz w:val="20"/>
          <w:szCs w:val="20"/>
          <w:lang w:val="es-ES"/>
        </w:rPr>
        <w:t xml:space="preserve">Una vez concedido el uso de la marca y el logotipo </w:t>
      </w:r>
      <w:r>
        <w:rPr>
          <w:lang w:val="es-ES"/>
        </w:rPr>
        <w:t>“Menorca Reserva de Biosfera”</w:t>
      </w:r>
      <w:r>
        <w:rPr>
          <w:rFonts w:cs="" w:cstheme="minorBidi"/>
          <w:b w:val="false"/>
          <w:bCs w:val="false"/>
          <w:color w:val="153646"/>
          <w:sz w:val="20"/>
          <w:szCs w:val="20"/>
          <w:lang w:val="es-ES"/>
        </w:rPr>
        <w:t>, la empresa productora de huerta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10080"/>
      </w:tblGrid>
      <w:tr>
        <w:trPr>
          <w:trHeight w:val="624"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N1 / Mantiene el distintivo de su pertenencia a la marca (plazo de 12 meses para instalarla desde la concesión)</w:t>
            </w:r>
          </w:p>
        </w:tc>
      </w:tr>
      <w:tr>
        <w:trPr>
          <w:trHeight w:val="624"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N2 / En su promoción utiliza recursos de la marca Menorca Reserva de la Biosfera (plazo de 12 meses para instalarla desde la concesión)</w:t>
            </w:r>
          </w:p>
        </w:tc>
      </w:tr>
      <w:tr>
        <w:trPr>
          <w:trHeight w:val="624"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N3 / Está registrado en la página web de la marca i mantiene sus datos actualizados</w:t>
            </w:r>
          </w:p>
        </w:tc>
      </w:tr>
      <w:tr>
        <w:trPr>
          <w:trHeight w:val="624"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N4 / Dispone de materiales editados por la RB en el establecimiento que informan a los clientes sobre productos i servicios locales de la marca RB (agricultura, ganadería, artesanía, art, eventos culturales, etc.)</w:t>
            </w:r>
          </w:p>
        </w:tc>
      </w:tr>
      <w:tr>
        <w:trPr>
          <w:trHeight w:val="624"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N5/ Asistir a las jornadas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635" distR="635" simplePos="0" locked="0" layoutInCell="1" allowOverlap="1" relativeHeight="107">
                <wp:simplePos x="0" y="0"/>
                <wp:positionH relativeFrom="column">
                  <wp:posOffset>0</wp:posOffset>
                </wp:positionH>
                <wp:positionV relativeFrom="paragraph">
                  <wp:posOffset>1270</wp:posOffset>
                </wp:positionV>
                <wp:extent cx="6515735" cy="1270"/>
                <wp:effectExtent l="635" t="3175" r="635" b="3175"/>
                <wp:wrapNone/>
                <wp:docPr id="1" name="Straight Connector 7"/>
                <a:graphic xmlns:a="http://schemas.openxmlformats.org/drawingml/2006/main">
                  <a:graphicData uri="http://schemas.microsoft.com/office/word/2010/wordprocessingShape">
                    <wps:wsp>
                      <wps:cNvSpPr/>
                      <wps:spPr>
                        <a:xfrm>
                          <a:off x="0" y="0"/>
                          <a:ext cx="6515640" cy="144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3pt,0.15pt" ID="Straight Connector 7" stroked="t" o:allowincell="f" style="position:absolute">
                <v:stroke color="#d9d9d9" weight="6480" joinstyle="miter" endcap="flat"/>
                <v:fill o:detectmouseclick="t" on="false"/>
                <w10:wrap type="none"/>
              </v:line>
            </w:pict>
          </mc:Fallback>
        </mc:AlternateContent>
      </w:r>
    </w:p>
    <w:p>
      <w:pPr>
        <w:pStyle w:val="Normal"/>
        <w:rPr>
          <w:lang w:val="es-ES"/>
        </w:rPr>
      </w:pPr>
      <w:r>
        <w:rPr>
          <w:rFonts w:ascii="Trebuchet MS" w:hAnsi="Trebuchet MS"/>
          <w:color w:val="153646"/>
          <w:lang w:val="es-ES"/>
        </w:rPr>
        <w:t>Asimismo, la Agencia anima a cumplir los siguientes compromisos recomendables siempre que sea posible promocionar la marca y su establecimiento:</w:t>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N6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bl>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N7 / Contrata personas en situación de vulnerabilidad: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bl>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N8 / Organiza, participa y/o colabora en proyectos de interés y responsabilidad social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N9 / Colabora en estudios y/o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bookmarkStart w:id="1" w:name="_GoBack"/>
            <w:bookmarkEnd w:id="1"/>
            <w:r>
              <w:rPr>
                <w:lang w:val="es-ES" w:eastAsia="zh-TW"/>
              </w:rPr>
              <w:t>Marcar con una X esta casilla si asume el compromiso.</w:t>
            </w:r>
          </w:p>
        </w:tc>
      </w:tr>
    </w:tbl>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N10 / Colabora activamente en la detección, erradicación i control de nuevas plagas y enfermedades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eastAsia="zh-TW"/>
              </w:rPr>
              <w:t>Marcar con una X esta casilla si asume el compromiso.</w:t>
            </w:r>
          </w:p>
        </w:tc>
      </w:tr>
    </w:tbl>
    <w:p>
      <w:pPr>
        <w:pStyle w:val="03Tableregular"/>
        <w:rPr>
          <w:lang w:val="es-ES"/>
        </w:rPr>
      </w:pPr>
      <w:r>
        <w:rPr>
          <w:lang w:val="es-ES"/>
        </w:rPr>
      </w:r>
    </w:p>
    <w:p>
      <w:pPr>
        <w:pStyle w:val="06Subtitles"/>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Verdana Pro">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30">
              <wp:simplePos x="0" y="0"/>
              <wp:positionH relativeFrom="column">
                <wp:posOffset>5456555</wp:posOffset>
              </wp:positionH>
              <wp:positionV relativeFrom="paragraph">
                <wp:posOffset>-177800</wp:posOffset>
              </wp:positionV>
              <wp:extent cx="298450" cy="360680"/>
              <wp:effectExtent l="0" t="0" r="0" b="0"/>
              <wp:wrapNone/>
              <wp:docPr id="2" name="Marco1"/>
              <a:graphic xmlns:a="http://schemas.openxmlformats.org/drawingml/2006/main">
                <a:graphicData uri="http://schemas.microsoft.com/office/word/2010/wordprocessingShape">
                  <wps:wsp>
                    <wps:cNvSpPr/>
                    <wps:spPr>
                      <a:xfrm>
                        <a:off x="0" y="0"/>
                        <a:ext cx="29844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29.65pt;margin-top:-14pt;width:23.45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60">
              <wp:simplePos x="0" y="0"/>
              <wp:positionH relativeFrom="column">
                <wp:posOffset>5798185</wp:posOffset>
              </wp:positionH>
              <wp:positionV relativeFrom="paragraph">
                <wp:posOffset>-222250</wp:posOffset>
              </wp:positionV>
              <wp:extent cx="742950" cy="755015"/>
              <wp:effectExtent l="0" t="0" r="0" b="0"/>
              <wp:wrapNone/>
              <wp:docPr id="3" name="Marco3"/>
              <a:graphic xmlns:a="http://schemas.openxmlformats.org/drawingml/2006/main">
                <a:graphicData uri="http://schemas.microsoft.com/office/word/2010/wordprocessingShape">
                  <wps:wsp>
                    <wps:cNvSpPr/>
                    <wps:spPr>
                      <a:xfrm>
                        <a:off x="0" y="0"/>
                        <a:ext cx="74304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3" path="m0,0l-2147483645,0l-2147483645,-2147483646l0,-2147483646xe" stroked="f" o:allowincell="f" style="position:absolute;margin-left:456.55pt;margin-top:-17.5pt;width:58.45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4300" distR="114300" simplePos="0" locked="0" layoutInCell="0" allowOverlap="1" relativeHeight="105">
              <wp:simplePos x="0" y="0"/>
              <wp:positionH relativeFrom="column">
                <wp:posOffset>-29210</wp:posOffset>
              </wp:positionH>
              <wp:positionV relativeFrom="paragraph">
                <wp:posOffset>-102235</wp:posOffset>
              </wp:positionV>
              <wp:extent cx="4801870" cy="460375"/>
              <wp:effectExtent l="0" t="0" r="0" b="0"/>
              <wp:wrapSquare wrapText="bothSides"/>
              <wp:docPr id="4" name="Marco2"/>
              <a:graphic xmlns:a="http://schemas.openxmlformats.org/drawingml/2006/main">
                <a:graphicData uri="http://schemas.microsoft.com/office/word/2010/wordprocessingShape">
                  <wps:wsp>
                    <wps:cNvSpPr/>
                    <wps:spPr>
                      <a:xfrm>
                        <a:off x="0" y="0"/>
                        <a:ext cx="4802040" cy="460440"/>
                      </a:xfrm>
                      <a:prstGeom prst="rect">
                        <a:avLst/>
                      </a:prstGeom>
                      <a:noFill/>
                      <a:ln w="0">
                        <a:noFill/>
                      </a:ln>
                    </wps:spPr>
                    <wps:style>
                      <a:lnRef idx="0"/>
                      <a:fillRef idx="0"/>
                      <a:effectRef idx="0"/>
                      <a:fontRef idx="minor"/>
                    </wps:style>
                    <wps:txb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2" path="m0,0l-2147483645,0l-2147483645,-2147483646l0,-2147483646xe" stroked="f" o:allowincell="f" style="position:absolute;margin-left:-2.3pt;margin-top:-8.05pt;width:378.05pt;height:36.2pt;mso-wrap-style:square;v-text-anchor:top">
              <v:fill o:detectmouseclick="t" on="false"/>
              <v:stroke color="#3465a4" joinstyle="round" endcap="flat"/>
              <v:textbo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635" distR="635" simplePos="0" locked="0" layoutInCell="1" allowOverlap="1" relativeHeight="76">
              <wp:simplePos x="0" y="0"/>
              <wp:positionH relativeFrom="column">
                <wp:posOffset>0</wp:posOffset>
              </wp:positionH>
              <wp:positionV relativeFrom="paragraph">
                <wp:posOffset>143510</wp:posOffset>
              </wp:positionV>
              <wp:extent cx="6515735" cy="1270"/>
              <wp:effectExtent l="635" t="3175" r="635" b="3175"/>
              <wp:wrapNone/>
              <wp:docPr id="5" name="Straight Connector 4"/>
              <a:graphic xmlns:a="http://schemas.openxmlformats.org/drawingml/2006/main">
                <a:graphicData uri="http://schemas.microsoft.com/office/word/2010/wordprocessingShape">
                  <wps:wsp>
                    <wps:cNvSpPr/>
                    <wps:spPr>
                      <a:xfrm>
                        <a:off x="0" y="0"/>
                        <a:ext cx="6515640" cy="144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3pt,11.35pt" ID="Straight Connector 4"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537eef"/>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172f44"/>
    <w:pPr>
      <w:spacing w:lineRule="auto" w:line="276" w:before="0" w:after="140"/>
    </w:pPr>
    <w:rPr/>
  </w:style>
  <w:style w:type="paragraph" w:styleId="Lista">
    <w:name w:val="List"/>
    <w:basedOn w:val="Cuerpodetexto"/>
    <w:rsid w:val="00172f44"/>
    <w:pPr/>
    <w:rPr>
      <w:rFonts w:cs="Lucida Sans"/>
    </w:rPr>
  </w:style>
  <w:style w:type="paragraph" w:styleId="Leyenda" w:customStyle="1">
    <w:name w:val="Caption"/>
    <w:basedOn w:val="Normal"/>
    <w:qFormat/>
    <w:rsid w:val="00172f44"/>
    <w:pPr>
      <w:suppressLineNumbers/>
      <w:spacing w:before="120" w:after="120"/>
    </w:pPr>
    <w:rPr>
      <w:rFonts w:cs="Lucida Sans"/>
      <w:i/>
      <w:iCs/>
      <w:sz w:val="24"/>
      <w:szCs w:val="24"/>
    </w:rPr>
  </w:style>
  <w:style w:type="paragraph" w:styleId="Ndice" w:customStyle="1">
    <w:name w:val="Índice"/>
    <w:basedOn w:val="Normal"/>
    <w:qFormat/>
    <w:rsid w:val="00172f44"/>
    <w:pPr>
      <w:suppressLineNumbers/>
    </w:pPr>
    <w:rPr>
      <w:rFonts w:cs="Lucida Sans"/>
    </w:rPr>
  </w:style>
  <w:style w:type="paragraph" w:styleId="Ttulogeneral">
    <w:name w:val="Title"/>
    <w:basedOn w:val="Normal"/>
    <w:next w:val="Cuerpodetexto"/>
    <w:qFormat/>
    <w:rsid w:val="00172f44"/>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Style41" w:customStyle="1">
    <w:name w:val="Style4"/>
    <w:basedOn w:val="Normal"/>
    <w:qFormat/>
    <w:rsid w:val="00243444"/>
    <w:pPr>
      <w:spacing w:lineRule="auto" w:line="276" w:before="120" w:after="120"/>
    </w:pPr>
    <w:rPr>
      <w:rFonts w:ascii="Trebuchet MS" w:hAnsi="Trebuchet MS"/>
      <w:i/>
      <w:color w:val="153646"/>
      <w:sz w:val="17"/>
      <w:szCs w:val="17"/>
    </w:rPr>
  </w:style>
  <w:style w:type="paragraph" w:styleId="Style51" w:customStyle="1">
    <w:name w:val="Style5"/>
    <w:basedOn w:val="Style41"/>
    <w:qFormat/>
    <w:rsid w:val="00243444"/>
    <w:pPr/>
    <w:rPr/>
  </w:style>
  <w:style w:type="paragraph" w:styleId="Contenidodelmarco" w:customStyle="1">
    <w:name w:val="Contenido del marco"/>
    <w:basedOn w:val="Normal"/>
    <w:qFormat/>
    <w:rsid w:val="00172f44"/>
    <w:pPr/>
    <w:rPr/>
  </w:style>
  <w:style w:type="paragraph" w:styleId="BalloonText">
    <w:name w:val="Balloon Text"/>
    <w:basedOn w:val="Normal"/>
    <w:link w:val="TextodegloboCar"/>
    <w:uiPriority w:val="99"/>
    <w:semiHidden/>
    <w:unhideWhenUsed/>
    <w:qFormat/>
    <w:rsid w:val="00537eef"/>
    <w:pPr>
      <w:spacing w:before="0" w:after="0"/>
    </w:pPr>
    <w:rPr>
      <w:rFonts w:ascii="Tahoma" w:hAnsi="Tahoma" w:cs="Tahoma"/>
      <w:sz w:val="16"/>
      <w:szCs w:val="16"/>
    </w:rPr>
  </w:style>
  <w:style w:type="paragraph" w:styleId="10Regular" w:customStyle="1">
    <w:name w:val="10_Regular"/>
    <w:basedOn w:val="02BoldTablee"/>
    <w:qFormat/>
    <w:rsid w:val="00537eef"/>
    <w:pPr>
      <w:spacing w:lineRule="auto" w:line="276"/>
    </w:pPr>
    <w:rPr>
      <w:b w:val="false"/>
      <w:sz w:val="20"/>
    </w:rPr>
  </w:style>
  <w:style w:type="paragraph" w:styleId="11txt">
    <w:name w:val="11_txt"/>
    <w:qFormat/>
    <w:pPr>
      <w:widowControl/>
      <w:suppressAutoHyphens w:val="true"/>
      <w:bidi w:val="0"/>
      <w:spacing w:lineRule="auto" w:line="276" w:before="120" w:after="120"/>
      <w:jc w:val="left"/>
    </w:pPr>
    <w:rPr>
      <w:rFonts w:ascii="Trebuchet MS" w:hAnsi="Trebuchet MS" w:eastAsia="" w:cs=""/>
      <w:i/>
      <w:color w:val="153646"/>
      <w:kern w:val="0"/>
      <w:sz w:val="17"/>
      <w:szCs w:val="17"/>
      <w:lang w:val="en-GB"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E4332-089F-854C-88D5-15438981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Application>LibreOffice/7.5.7.1$Windows_X86_64 LibreOffice_project/47eb0cf7efbacdee9b19ae25d6752381ede23126</Application>
  <AppVersion>15.0000</AppVersion>
  <Pages>15</Pages>
  <Words>2707</Words>
  <Characters>14772</Characters>
  <CharactersWithSpaces>17226</CharactersWithSpaces>
  <Paragraphs>254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dc:language>es-ES</dc:language>
  <cp:lastModifiedBy/>
  <dcterms:modified xsi:type="dcterms:W3CDTF">2025-05-06T12:05:18Z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