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6</w:t>
      </w:r>
    </w:p>
    <w:p>
      <w:pPr>
        <w:pStyle w:val="Head1"/>
        <w:numPr>
          <w:ilvl w:val="0"/>
          <w:numId w:val="0"/>
        </w:numPr>
        <w:ind w:left="0" w:hanging="0"/>
        <w:outlineLvl w:val="0"/>
        <w:rPr>
          <w:lang w:val="es-ES"/>
        </w:rPr>
      </w:pPr>
      <w:r>
        <w:rPr>
          <w:rFonts w:ascii="Trebuchet MS" w:hAnsi="Trebuchet MS"/>
          <w:b/>
          <w:color w:val="002B49"/>
          <w:sz w:val="54"/>
          <w:szCs w:val="54"/>
          <w:lang w:val="es-ES"/>
        </w:rPr>
        <w:t>Explotaciones de Carne</w:t>
      </w:r>
    </w:p>
    <w:p>
      <w:pPr>
        <w:pStyle w:val="Normal"/>
        <w:rPr>
          <w:rFonts w:ascii="Trebuchet MS" w:hAnsi="Trebuchet MS"/>
          <w:lang w:val="es-ES"/>
        </w:rPr>
      </w:pPr>
      <w:r>
        <w:rPr>
          <w:rFonts w:ascii="Trebuchet MS" w:hAnsi="Trebuchet MS"/>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Nombre explotación de carne: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Dirección de la explotación:</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sz w:val="16"/>
                <w:szCs w:val="16"/>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 w:val="16"/>
                <w:szCs w:val="16"/>
                <w:lang w:val="es-ES" w:eastAsia="en-US" w:bidi="ar-SA"/>
              </w:rPr>
              <w:t>Nº Alta Código REGA (Reg. Explotaciones Ganaderas):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bold"/>
              <w:widowControl w:val="false"/>
              <w:suppressAutoHyphens w:val="true"/>
              <w:spacing w:before="80" w:after="80"/>
              <w:jc w:val="left"/>
              <w:rPr>
                <w:rFonts w:ascii="Trebuchet MS" w:hAnsi="Trebuchet MS" w:eastAsia="" w:cs=""/>
                <w:color w:val="153646"/>
                <w:kern w:val="0"/>
                <w:sz w:val="16"/>
                <w:szCs w:val="16"/>
                <w:lang w:val="es-ES" w:eastAsia="en-US" w:bidi="ar-SA"/>
              </w:rPr>
            </w:pPr>
            <w:r>
              <w:rPr>
                <w:rFonts w:eastAsia="" w:cs="" w:ascii="Trebuchet MS" w:hAnsi="Trebuchet MS"/>
                <w:color w:val="153646"/>
                <w:kern w:val="0"/>
                <w:sz w:val="16"/>
                <w:szCs w:val="16"/>
                <w:lang w:val="es-ES" w:eastAsia="en-US" w:bidi="ar-SA"/>
              </w:rPr>
            </w:r>
          </w:p>
        </w:tc>
      </w:tr>
    </w:tbl>
    <w:p>
      <w:pPr>
        <w:pStyle w:val="Normal"/>
        <w:spacing w:lineRule="auto" w:line="276"/>
        <w:rPr>
          <w:color w:val="002B49"/>
          <w:lang w:val="es-ES"/>
        </w:rPr>
      </w:pPr>
      <w:r>
        <w:rPr>
          <w:color w:val="002B49"/>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p>
      <w:pPr>
        <w:pStyle w:val="03Tableregular"/>
        <w:rPr>
          <w:sz w:val="20"/>
          <w:lang w:val="es-ES"/>
        </w:rPr>
      </w:pPr>
      <w:r>
        <w:rPr>
          <w:sz w:val="20"/>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Standard"/>
        <w:spacing w:lineRule="auto" w:line="276"/>
        <w:rPr>
          <w:rFonts w:ascii="Verdana" w:hAnsi="Verdana" w:eastAsia="" w:cs="" w:cstheme="minorBidi" w:eastAsiaTheme="minorEastAsia"/>
          <w:color w:val="002B49"/>
          <w:kern w:val="0"/>
          <w:szCs w:val="20"/>
          <w:lang w:val="es-ES" w:eastAsia="en-US" w:bidi="ar-SA"/>
        </w:rPr>
      </w:pPr>
      <w:r>
        <w:rPr>
          <w:rFonts w:eastAsia="" w:cs="" w:cstheme="minorBidi" w:eastAsiaTheme="minorEastAsia" w:ascii="Verdana" w:hAnsi="Verdana"/>
          <w:color w:val="002B49"/>
          <w:kern w:val="0"/>
          <w:szCs w:val="20"/>
          <w:lang w:val="es-ES" w:eastAsia="en-US" w:bidi="ar-SA"/>
        </w:rPr>
      </w:r>
    </w:p>
    <w:p>
      <w:pPr>
        <w:pStyle w:val="03Tableregular"/>
        <w:rPr>
          <w:lang w:val="es-ES"/>
        </w:rPr>
      </w:pPr>
      <w:r>
        <w:rPr>
          <w:sz w:val="20"/>
          <w:lang w:val="es-ES"/>
        </w:rPr>
        <w:t xml:space="preserve">Para poder solicitar el uso de la marca y el logotipo </w:t>
      </w:r>
      <w:r>
        <w:rPr>
          <w:b/>
          <w:color w:val="00AFAA"/>
          <w:lang w:val="es-ES"/>
        </w:rPr>
        <w:t>“Menorca Reserva de Biosfera”</w:t>
      </w:r>
      <w:r>
        <w:rPr>
          <w:sz w:val="20"/>
          <w:lang w:val="es-ES"/>
        </w:rPr>
        <w:t xml:space="preserve">, la Explotación de Carne debe cumplir los </w:t>
      </w:r>
      <w:r>
        <w:rPr>
          <w:b/>
          <w:bCs/>
          <w:sz w:val="20"/>
          <w:lang w:val="es-ES"/>
        </w:rPr>
        <w:t>12 requisitos obligatorios</w:t>
      </w:r>
      <w:r>
        <w:rPr>
          <w:sz w:val="20"/>
          <w:lang w:val="es-ES"/>
        </w:rPr>
        <w:t xml:space="preserve"> siguientes:</w:t>
      </w:r>
    </w:p>
    <w:p>
      <w:pPr>
        <w:pStyle w:val="Normal"/>
        <w:rPr>
          <w:lang w:val="es-ES"/>
        </w:rPr>
      </w:pPr>
      <w:r>
        <w:rPr>
          <w:rFonts w:ascii="Trebuchet MS" w:hAnsi="Trebuchet MS"/>
          <w:b/>
          <w:color w:val="002B49"/>
          <w:sz w:val="40"/>
          <w:szCs w:val="40"/>
          <w:lang w:val="es-ES"/>
        </w:rPr>
        <w:t>Cumplimiento de los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Head1"/>
        <w:keepNext w:val="true"/>
        <w:keepLines/>
        <w:rPr>
          <w:lang w:val="es-ES"/>
        </w:rPr>
      </w:pPr>
      <w:r>
        <w:rPr>
          <w:rFonts w:ascii="Trebuchet MS" w:hAnsi="Trebuchet MS"/>
          <w:b/>
          <w:color w:val="00AFAA"/>
          <w:sz w:val="22"/>
          <w:szCs w:val="22"/>
          <w:lang w:val="es-ES"/>
        </w:rPr>
        <w:t>C / Actividades de la empresa</w:t>
        <w:tab/>
      </w:r>
    </w:p>
    <w:p>
      <w:pPr>
        <w:pStyle w:val="Head1"/>
        <w:keepNext w:val="true"/>
        <w:keepLines/>
        <w:rPr>
          <w:color w:val="00AFAA"/>
          <w:sz w:val="24"/>
          <w:szCs w:val="24"/>
          <w:lang w:val="es-ES"/>
        </w:rPr>
      </w:pPr>
      <w:r>
        <w:rPr>
          <w:color w:val="00AFAA"/>
          <w:sz w:val="24"/>
          <w:szCs w:val="24"/>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2999"/>
        <w:gridCol w:w="7120"/>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Reses producidas por explotaciones ganaderas ubicadas en la reserva de biosfera de Menorca cuyo sacrificio y despiece tenga lugar dentro de la Reserva de Biosfera Menorca</w:t>
            </w:r>
          </w:p>
        </w:tc>
      </w:tr>
      <w:tr>
        <w:trPr>
          <w:trHeight w:val="503" w:hRule="atLeast"/>
          <w:cantSplit w:val="true"/>
        </w:trPr>
        <w:tc>
          <w:tcPr>
            <w:tcW w:w="2999"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estar situada en la isla de Menorca e inscrita con el código REGA; además el sacrificio y despiece debe hacerse en la isla.</w:t>
            </w:r>
          </w:p>
        </w:tc>
      </w:tr>
      <w:tr>
        <w:trPr>
          <w:trHeight w:val="503" w:hRule="atLeast"/>
          <w:cantSplit w:val="true"/>
        </w:trPr>
        <w:tc>
          <w:tcPr>
            <w:tcW w:w="2999"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120"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código REGA de la explotación y explicar cómo y dónde se realiza el sacrificio y despiece de las reses.</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FFFFF" w:themeFill="background1" w:val="clear"/>
            <w:vAlign w:val="center"/>
          </w:tcPr>
          <w:p>
            <w:pPr>
              <w:pStyle w:val="Tablebold"/>
              <w:widowControl w:val="false"/>
              <w:suppressAutoHyphens w:val="true"/>
              <w:spacing w:before="80" w:after="80"/>
              <w:jc w:val="left"/>
              <w:rPr>
                <w:rFonts w:ascii="Trebuchet MS" w:hAnsi="Trebuchet MS" w:eastAsia="" w:cs=""/>
                <w:bCs/>
                <w:color w:val="002B49"/>
                <w:kern w:val="0"/>
                <w:szCs w:val="18"/>
                <w:highlight w:val="white"/>
                <w:lang w:val="es-ES" w:eastAsia="en-US" w:bidi="ar-SA"/>
              </w:rPr>
            </w:pPr>
            <w:r>
              <w:rPr>
                <w:rFonts w:eastAsia="" w:cs="" w:ascii="Trebuchet MS" w:hAnsi="Trebuchet MS"/>
                <w:bCs/>
                <w:color w:val="002B49"/>
                <w:kern w:val="0"/>
                <w:szCs w:val="18"/>
                <w:highlight w:val="white"/>
                <w:lang w:val="es-ES" w:eastAsia="en-US" w:bidi="ar-SA"/>
              </w:rPr>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i/>
                <w:color w:val="808080" w:themeColor="background1" w:themeShade="80"/>
                <w:kern w:val="0"/>
                <w:szCs w:val="18"/>
                <w:lang w:val="es-ES" w:eastAsia="en-US" w:bidi="ar-SA"/>
              </w:rPr>
              <w:t>Texto explicativo…</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20"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código REGA de la explotación.</w:t>
            </w:r>
          </w:p>
        </w:tc>
      </w:tr>
      <w:tr>
        <w:trPr>
          <w:trHeight w:val="503" w:hRule="atLeast"/>
          <w:cantSplit w:val="true"/>
        </w:trPr>
        <w:tc>
          <w:tcPr>
            <w:tcW w:w="2999"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20"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REGA nº:</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Explotaciones ganaderas extensivas o intensivas que acrediten que la alimentación tiene al menos un 50% de procedencia de Menorca (pasto o preparados alimenticios con productos producidos en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utilizar al menos un 50 % de materia prima procedente de la isla de Menorca para alimentar a las reses.</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materias primas utilizadas para la alimentación de las reses, así como su origen, mediante la presentación de facturas.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Materia prima 1 (origen)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Materia prima 2 (origen)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No emplea cultivos o forrajes transgénicos (OMG)</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no utiliza cultivos o forrajes transgénicos en su producción de carne.</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declaración de que la explotación está libre de cultivos o forrajes transgénicos para alimentar a las reses destinadas a la producción de carne.</w:t>
            </w:r>
          </w:p>
        </w:tc>
      </w:tr>
      <w:tr>
        <w:trPr>
          <w:trHeight w:val="485"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C5 / Declara el cumplimiento de la normativa sectorial y en concreto dispone de Plan de deyecciones ganaderas actualizado, en su caso.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cumplir la normativa sectorial y disponer de un Plan de deyecciones ganaderas actual.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Plan de deyecciones actual que se aplica en la explotación de carne.</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Normal"/>
        <w:rPr>
          <w:lang w:val="es-ES"/>
        </w:rPr>
      </w:pPr>
      <w:r>
        <w:rPr>
          <w:lang w:val="es-ES"/>
        </w:rPr>
      </w:r>
    </w:p>
    <w:p>
      <w:pPr>
        <w:pStyle w:val="Head1"/>
        <w:rPr>
          <w:szCs w:val="40"/>
          <w:lang w:val="es-ES"/>
        </w:rPr>
      </w:pPr>
      <w:r>
        <w:rPr>
          <w:szCs w:val="40"/>
          <w:lang w:val="es-ES"/>
        </w:rPr>
      </w:r>
    </w:p>
    <w:p>
      <w:pPr>
        <w:pStyle w:val="Head1"/>
        <w:keepNext w:val="true"/>
        <w:keepLines/>
        <w:rPr>
          <w:lang w:val="es-ES"/>
        </w:rPr>
      </w:pPr>
      <w:r>
        <w:rPr>
          <w:rFonts w:ascii="Trebuchet MS" w:hAnsi="Trebuchet MS"/>
          <w:b/>
          <w:color w:val="00AFAA"/>
          <w:sz w:val="22"/>
          <w:szCs w:val="22"/>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Cumple la normativa vigente en relación con el uso sostenible de productos fitosanitarios</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cumplir la normativa vigente en relación con el uso sostenible de productos fitosanitarios. Para ello debe llevar una gestión integrada de plagas, justificante de estar adscrito a una agrupación de defensa vegetal (ADV) o tener un asesor en control integral de plagas.</w:t>
            </w:r>
          </w:p>
        </w:tc>
      </w:tr>
      <w:tr>
        <w:trPr>
          <w:trHeight w:val="2006"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shd w:fill="FFFFFF" w:val="clear"/>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adjuntar número de carnet de usuario profesional de productos fitosanitarios.</w:t>
            </w:r>
          </w:p>
          <w:p>
            <w:pPr>
              <w:pStyle w:val="Standard"/>
              <w:widowControl w:val="false"/>
              <w:spacing w:lineRule="auto" w:line="276" w:before="0" w:after="0"/>
              <w:jc w:val="left"/>
              <w:rPr>
                <w:sz w:val="20"/>
                <w:szCs w:val="24"/>
                <w:lang w:val="es-ES"/>
              </w:rPr>
            </w:pPr>
            <w:r>
              <w:rPr>
                <w:rFonts w:eastAsia="" w:cs="" w:ascii="Trebuchet MS" w:hAnsi="Trebuchet MS" w:cstheme="minorBidi" w:eastAsiaTheme="minorEastAsia"/>
                <w:color w:val="153646"/>
                <w:kern w:val="0"/>
                <w:sz w:val="18"/>
                <w:szCs w:val="20"/>
                <w:lang w:val="es-ES" w:eastAsia="en-US" w:bidi="ar-SA"/>
              </w:rPr>
              <w:t>Es necesario adjuntar certificado de pertenencia a una ADV o certificado del asesor de la explotación que indique que cumple la normativa especial de Gestión Integrada de Plagas.</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100">
                <wp:simplePos x="0" y="0"/>
                <wp:positionH relativeFrom="page">
                  <wp:posOffset>508000</wp:posOffset>
                </wp:positionH>
                <wp:positionV relativeFrom="paragraph">
                  <wp:posOffset>305435</wp:posOffset>
                </wp:positionV>
                <wp:extent cx="6343015" cy="876300"/>
                <wp:effectExtent l="0" t="0" r="0" b="0"/>
                <wp:wrapNone/>
                <wp:docPr id="1" name="Marco1"/>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1"/>
                              <w:gridCol w:w="9638"/>
                            </w:tblGrid>
                            <w:tr>
                              <w:trPr>
                                <w:trHeight w:val="1095" w:hRule="atLeast"/>
                                <w:cantSplit w:val="true"/>
                              </w:trPr>
                              <w:tc>
                                <w:tcPr>
                                  <w:tcW w:w="3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0pt;margin-top:24.05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1"/>
                        <w:gridCol w:w="9638"/>
                      </w:tblGrid>
                      <w:tr>
                        <w:trPr>
                          <w:trHeight w:val="1095" w:hRule="atLeast"/>
                          <w:cantSplit w:val="true"/>
                        </w:trPr>
                        <w:tc>
                          <w:tcPr>
                            <w:tcW w:w="3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Cumple la normativa en materia de sanidad y bienestar animal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Para la producción de carne debe cumplirse la normativa específica en materia de sanidad y bienestar animal actual.</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shd w:fill="FFFFFF" w:val="clear"/>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certificado del veterinario de la explotación u otra documentación acreditativa.</w:t>
            </w:r>
          </w:p>
        </w:tc>
      </w:tr>
      <w:tr>
        <w:trPr>
          <w:trHeight w:val="52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lang w:val="es-ES"/>
        </w:rPr>
      </w:pPr>
      <w:r>
        <mc:AlternateContent>
          <mc:Choice Requires="wps">
            <w:drawing>
              <wp:anchor behindDoc="0" distT="0" distB="0" distL="0" distR="0" simplePos="0" locked="0" layoutInCell="0" allowOverlap="1" relativeHeight="102">
                <wp:simplePos x="0" y="0"/>
                <wp:positionH relativeFrom="page">
                  <wp:posOffset>508000</wp:posOffset>
                </wp:positionH>
                <wp:positionV relativeFrom="paragraph">
                  <wp:posOffset>305435</wp:posOffset>
                </wp:positionV>
                <wp:extent cx="6343015" cy="876300"/>
                <wp:effectExtent l="0" t="0" r="0" b="0"/>
                <wp:wrapNone/>
                <wp:docPr id="2" name="Marco2"/>
                <a:graphic xmlns:a="http://schemas.openxmlformats.org/drawingml/2006/main">
                  <a:graphicData uri="http://schemas.microsoft.com/office/word/2010/wordprocessingShape">
                    <wps:wsp>
                      <wps:cNvSpPr/>
                      <wps:spPr>
                        <a:xfrm>
                          <a:off x="0" y="0"/>
                          <a:ext cx="6342840" cy="876240"/>
                        </a:xfrm>
                        <a:prstGeom prst="rect">
                          <a:avLst/>
                        </a:prstGeom>
                        <a:noFill/>
                        <a:ln w="0">
                          <a:noFill/>
                        </a:ln>
                      </wps:spPr>
                      <wps:style>
                        <a:lnRef idx="0"/>
                        <a:fillRef idx="0"/>
                        <a:effectRef idx="0"/>
                        <a:fontRef idx="minor"/>
                      </wps:style>
                      <wps:txb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1"/>
                              <w:gridCol w:w="9638"/>
                            </w:tblGrid>
                            <w:tr>
                              <w:trPr>
                                <w:trHeight w:val="1095" w:hRule="atLeast"/>
                                <w:cantSplit w:val="true"/>
                              </w:trPr>
                              <w:tc>
                                <w:tcPr>
                                  <w:tcW w:w="3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wps:txbx>
                      <wps:bodyPr anchor="t">
                        <a:noAutofit/>
                      </wps:bodyPr>
                    </wps:wsp>
                  </a:graphicData>
                </a:graphic>
              </wp:anchor>
            </w:drawing>
          </mc:Choice>
          <mc:Fallback>
            <w:pict>
              <v:rect id="shape_0" ID="Marco2" path="m0,0l-2147483645,0l-2147483645,-2147483646l0,-2147483646xe" stroked="f" o:allowincell="f" style="position:absolute;margin-left:40pt;margin-top:24.05pt;width:499.4pt;height:68.95pt;mso-wrap-style:none;v-text-anchor:middle;mso-position-horizontal-relative:page">
                <v:fill o:detectmouseclick="t" on="false"/>
                <v:stroke color="#3465a4" joinstyle="round" endcap="flat"/>
                <v:textbox>
                  <w:txbxContent>
                    <w:tbl>
                      <w:tblPr>
                        <w:tblStyle w:val="Tablaconcuadrcula"/>
                        <w:tblW w:w="9990" w:type="dxa"/>
                        <w:jc w:val="left"/>
                        <w:tblInd w:w="109" w:type="dxa"/>
                        <w:tblLayout w:type="fixed"/>
                        <w:tblCellMar>
                          <w:top w:w="0" w:type="dxa"/>
                          <w:left w:w="107" w:type="dxa"/>
                          <w:bottom w:w="0" w:type="dxa"/>
                          <w:right w:w="108" w:type="dxa"/>
                        </w:tblCellMar>
                        <w:tblLook w:val="04a0"/>
                      </w:tblPr>
                      <w:tblGrid>
                        <w:gridCol w:w="351"/>
                        <w:gridCol w:w="9638"/>
                      </w:tblGrid>
                      <w:tr>
                        <w:trPr>
                          <w:trHeight w:val="1095" w:hRule="atLeast"/>
                          <w:cantSplit w:val="true"/>
                        </w:trPr>
                        <w:tc>
                          <w:tcPr>
                            <w:tcW w:w="3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Tableinfo"/>
                              <w:widowControl w:val="false"/>
                              <w:suppressAutoHyphens w:val="true"/>
                              <w:spacing w:before="80" w:after="80"/>
                              <w:jc w:val="left"/>
                              <w:rPr>
                                <w:rFonts w:ascii="Trebuchet MS" w:hAnsi="Trebuchet MS"/>
                                <w:color w:val="7030A0"/>
                                <w:sz w:val="16"/>
                                <w:szCs w:val="16"/>
                                <w:lang w:val="en-US"/>
                              </w:rPr>
                            </w:pPr>
                            <w:r>
                              <w:rPr>
                                <w:rFonts w:ascii="Trebuchet MS" w:hAnsi="Trebuchet MS"/>
                                <w:color w:val="7030A0"/>
                                <w:sz w:val="16"/>
                                <w:szCs w:val="16"/>
                                <w:lang w:val="en-US"/>
                              </w:rPr>
                            </w:r>
                          </w:p>
                        </w:tc>
                        <w:tc>
                          <w:tcPr>
                            <w:tcW w:w="9638"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11txt"/>
                              <w:widowControl w:val="false"/>
                              <w:suppressAutoHyphens w:val="true"/>
                              <w:spacing w:before="120" w:after="120"/>
                              <w:jc w:val="left"/>
                              <w:rPr>
                                <w:rFonts w:eastAsia="" w:cs=""/>
                                <w:kern w:val="0"/>
                                <w:lang w:val="es-ES" w:eastAsia="en-US" w:bidi="ar-SA"/>
                              </w:rPr>
                            </w:pPr>
                            <w:r>
                              <w:rPr>
                                <w:rFonts w:eastAsia="" w:cs=""/>
                                <w:kern w:val="0"/>
                                <w:lang w:val="es-ES" w:eastAsia="en-US" w:bidi="ar-SA"/>
                              </w:rPr>
                              <w:t>Este requisito ya ha sido comprobado durante el último año por la sección de Ganadería del Departamento de Medio Ambiente y Reserva de Biosfera del Consell Insular de Menorca, y solicito que este requisito sea contrastado con esta sección.</w:t>
                            </w:r>
                          </w:p>
                        </w:tc>
                      </w:tr>
                    </w:tbl>
                    <w:p>
                      <w:pPr>
                        <w:pStyle w:val="Contenidodelmarco"/>
                        <w:spacing w:before="40" w:after="80"/>
                        <w:rPr>
                          <w:lang w:val="es-ES"/>
                        </w:rPr>
                      </w:pPr>
                      <w:r>
                        <w:rPr>
                          <w:color w:val="000000"/>
                        </w:rPr>
                      </w:r>
                    </w:p>
                  </w:txbxContent>
                </v:textbox>
                <w10:wrap type="none"/>
              </v:rect>
            </w:pict>
          </mc:Fallback>
        </mc:AlternateContent>
      </w: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Head1"/>
        <w:keepNext w:val="true"/>
        <w:keepLines/>
        <w:rPr>
          <w:color w:val="00AFAA"/>
          <w:sz w:val="24"/>
          <w:szCs w:val="24"/>
          <w:lang w:val="es-ES"/>
        </w:rPr>
      </w:pPr>
      <w:r>
        <w:rPr>
          <w:color w:val="00AFAA"/>
          <w:sz w:val="24"/>
          <w:szCs w:val="24"/>
          <w:lang w:val="es-ES"/>
        </w:rPr>
      </w:r>
    </w:p>
    <w:p>
      <w:pPr>
        <w:pStyle w:val="Head1"/>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Realiza seguimiento sobre el consumo de energía y agua (electricidad, gas, gasoil....)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 indicar el seguimiento del consumo de energía y agua de la explotación de carne de todo el último año.</w:t>
            </w:r>
          </w:p>
        </w:tc>
      </w:tr>
      <w:tr>
        <w:trPr>
          <w:trHeight w:val="115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seguimiento del consumo de energía y agua de la explotación de carne de todo el último año.</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Reemplaza las bombillas incandescentes y halógenas por otras de bajo consumo o LED</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szCs w:val="18"/>
                <w:lang w:val="es-ES" w:eastAsia="en-US" w:bidi="ar-SA"/>
              </w:rPr>
              <w:t>La explotación de carne utiliza bombillas de bajo consumo o LED en toda la empresa.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cuándo se realizó el cambio a bombilla de bajo consumo o LED y cuántas bombillas se cambiaron.</w:t>
            </w:r>
          </w:p>
        </w:tc>
      </w:tr>
      <w:tr>
        <w:trPr>
          <w:trHeight w:val="64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Texto explicativo…</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Adopta medida para el ahorro de luz: interruptores de tiempo,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color w:val="153646"/>
                <w:kern w:val="0"/>
                <w:sz w:val="18"/>
                <w:lang w:val="es-ES" w:eastAsia="en-US" w:bidi="ar-SA"/>
              </w:rPr>
              <w:t>La explotación de carne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listado de medidas tomadas por la explotación de carne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la lista de medidas tomadas por la explotación de carne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D12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cómo se prioriza en la utilización de materiales reciclados, reutilizables y/o reciclables en la explotación de carne.</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D13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disponer de contenedores de recogida selectiva y encargarse de su adecuado tratamiento posterior.</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Especialmente se debe adjuntar los últimos albaranes de recogida de SIGFITO, MEDICAMENTOS y PLÁSTICOS AGRARIOS.</w:t>
            </w:r>
          </w:p>
        </w:tc>
      </w:tr>
      <w:tr>
        <w:trPr>
          <w:trHeight w:val="13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bCs/>
                <w:color w:val="002B49"/>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Normal"/>
        <w:spacing w:lineRule="auto" w:line="276"/>
        <w:rPr>
          <w:lang w:val="es-ES"/>
        </w:rPr>
      </w:pPr>
      <w:r>
        <w:rPr>
          <w:rFonts w:ascii="Trebuchet MS" w:hAnsi="Trebuchet MS"/>
          <w:color w:val="153646"/>
          <w:lang w:val="es-ES"/>
        </w:rPr>
        <w:t xml:space="preserve">Para poder solicitar inicialmente el uso de la marca y el logotipo </w:t>
      </w:r>
      <w:r>
        <w:rPr>
          <w:b/>
          <w:color w:val="00AFAA"/>
          <w:lang w:val="es-ES"/>
        </w:rPr>
        <w:t>“Menorca Reserva de Biosfera”</w:t>
      </w:r>
      <w:r>
        <w:rPr>
          <w:rFonts w:ascii="Trebuchet MS" w:hAnsi="Trebuchet MS"/>
          <w:color w:val="153646"/>
          <w:lang w:val="es-ES"/>
        </w:rPr>
        <w:t xml:space="preserve">, la explotación de carne debe cumplir </w:t>
      </w:r>
      <w:r>
        <w:rPr>
          <w:rFonts w:ascii="Trebuchet MS" w:hAnsi="Trebuchet MS"/>
          <w:b/>
          <w:color w:val="153646"/>
          <w:lang w:val="es-ES"/>
        </w:rPr>
        <w:t>2 de los requisitos recomendables</w:t>
      </w:r>
      <w:r>
        <w:rPr>
          <w:rFonts w:ascii="Trebuchet MS" w:hAnsi="Trebuchet MS"/>
          <w:color w:val="153646"/>
          <w:lang w:val="es-ES"/>
        </w:rPr>
        <w:t>, además de comprometerse como mínimo a llegar a cumplir hasta 5 del total de requisitos recomendables durante los 3 próximos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E / Actividades de la empresa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ecológicos certificados por el CBPAE en la explotación de carne,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E15 /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priorizar el mantenimiento y recuperación de razas autóctonas.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Certificado de la asociación de raza autóctona correspondiente que la explotación sigue un proceso por mantener y recuperar razas autóctonas.</w:t>
            </w:r>
          </w:p>
        </w:tc>
      </w:tr>
      <w:tr>
        <w:trPr>
          <w:trHeight w:val="152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E16 / Aprovechamiento de pastos forestales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aprovecha los pastos forestales.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205"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Explicación del proceso que sigue la explotación de carne para aprovechar los pastos forestales.</w:t>
            </w:r>
          </w:p>
        </w:tc>
      </w:tr>
      <w:tr>
        <w:trPr>
          <w:trHeight w:val="1727"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vAlign w:val="cente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E17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acuerdo de custodia o contrato territorial.</w:t>
            </w:r>
          </w:p>
        </w:tc>
      </w:tr>
      <w:tr>
        <w:trPr>
          <w:trHeight w:val="71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sz w:val="18"/>
                <w:szCs w:val="18"/>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E18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está inscrita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inscrita en el catálogo de AGROXERXA.</w:t>
            </w:r>
          </w:p>
        </w:tc>
      </w:tr>
      <w:tr>
        <w:trPr>
          <w:trHeight w:val="710"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La explotación de carne está inscrita en el catálogo de AGROXERXA con el nombre:</w:t>
              <w:br/>
              <w:t>_____________________________________________________________</w:t>
            </w:r>
          </w:p>
        </w:tc>
      </w:tr>
    </w:tbl>
    <w:p>
      <w:pPr>
        <w:pStyle w:val="06Subtitles"/>
        <w:rPr>
          <w:lang w:val="es-ES"/>
        </w:rPr>
      </w:pPr>
      <w:r>
        <w:rPr>
          <w:lang w:val="es-ES"/>
        </w:rPr>
      </w:r>
    </w:p>
    <w:p>
      <w:pPr>
        <w:pStyle w:val="06Subtitles"/>
        <w:rPr>
          <w:lang w:val="es-ES"/>
        </w:rPr>
      </w:pPr>
      <w:r>
        <w:rPr>
          <w:lang w:val="es-ES"/>
        </w:rPr>
      </w:r>
    </w:p>
    <w:p>
      <w:pPr>
        <w:pStyle w:val="Normal"/>
        <w:rPr>
          <w:lang w:val="es-ES"/>
        </w:rPr>
      </w:pPr>
      <w:r>
        <w:rPr>
          <w:rFonts w:cs="MinionPro-Regular" w:ascii="Trebuchet MS" w:hAnsi="Trebuchet MS"/>
          <w:b/>
          <w:bCs/>
          <w:color w:val="00AFAA"/>
          <w:sz w:val="22"/>
          <w:szCs w:val="22"/>
          <w:lang w:val="es-ES"/>
        </w:rPr>
        <w:t>F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F19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equipos de cogeneración o sistemas de aprovechamiento de energías renovables de que dispone la explotación de carne.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F20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debe tomar medidas para la reducción de la contaminación lumínica en la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para reducir la contaminación lumínica de la explotación de carne.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F21 / Utiliza sistema de depuración adecuado o está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gestiona adecuadamente su saneamiento, de manera individualizada o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se utiliza e ilustrarlo con fotografía justificativa. En caso de estar conectados al saneamiento municipal, indicar a cual.</w:t>
            </w:r>
          </w:p>
        </w:tc>
      </w:tr>
      <w:tr>
        <w:trPr>
          <w:trHeight w:val="1214"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Texto explicativo: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F22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 xml:space="preserve">La </w:t>
            </w:r>
            <w:r>
              <w:rPr>
                <w:rFonts w:eastAsia="" w:cs=""/>
                <w:kern w:val="0"/>
                <w:lang w:val="es-ES" w:eastAsia="en-US" w:bidi="ar-SA"/>
              </w:rPr>
              <w:t>empresa</w:t>
            </w:r>
            <w:r>
              <w:rPr>
                <w:rFonts w:eastAsia="" w:cs=""/>
                <w:kern w:val="0"/>
                <w:lang w:val="es-ES" w:eastAsia="en-US" w:bidi="ar-SA"/>
              </w:rPr>
              <w:t xml:space="preserve">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F23 / Utiliza productos de limpieza biodegradables/ecológicos</w:t>
            </w:r>
            <w:bookmarkStart w:id="0" w:name="_GoBack"/>
            <w:bookmarkEnd w:id="0"/>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53646"/>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explotación de carne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Tableinfo"/>
              <w:widowControl w:val="false"/>
              <w:suppressAutoHyphens w:val="true"/>
              <w:spacing w:before="80" w:after="80"/>
              <w:jc w:val="left"/>
              <w:rPr>
                <w:rFonts w:eastAsia="" w:cs=""/>
                <w:kern w:val="0"/>
                <w:lang w:val="es-ES" w:eastAsia="en-US" w:bidi="ar-SA"/>
              </w:rPr>
            </w:pPr>
            <w:r>
              <w:rPr>
                <w:rFonts w:eastAsia="" w:cs="" w:ascii="Trebuchet MS" w:hAnsi="Trebuchet MS"/>
                <w:i/>
                <w:color w:val="808080" w:themeColor="background1" w:themeShade="80"/>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kern w:val="0"/>
                <w:lang w:val="es-ES" w:eastAsia="en-US" w:bidi="ar-SA"/>
              </w:rPr>
            </w:pPr>
            <w:r>
              <w:rPr>
                <w:rFonts w:eastAsia="" w:cs="" w:ascii="Trebuchet MS" w:hAnsi="Trebuchet MS"/>
                <w:color w:val="17406D" w:themeColor="text2"/>
                <w:kern w:val="0"/>
                <w:szCs w:val="18"/>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rFonts w:cs="" w:cstheme="minorBidi"/>
          <w:b w:val="false"/>
          <w:bCs w:val="false"/>
          <w:color w:val="153646"/>
          <w:sz w:val="20"/>
          <w:szCs w:val="20"/>
          <w:lang w:val="es-ES"/>
        </w:rPr>
        <w:t xml:space="preserve">Una vez concedido el uso de la marca y el logotipo </w:t>
      </w:r>
      <w:r>
        <w:rPr>
          <w:lang w:val="es-ES"/>
        </w:rPr>
        <w:t>“Menorca Reserva de Biosfera”</w:t>
      </w:r>
      <w:r>
        <w:rPr>
          <w:rFonts w:cs="" w:cstheme="minorBidi"/>
          <w:b w:val="false"/>
          <w:bCs w:val="false"/>
          <w:color w:val="153646"/>
          <w:sz w:val="20"/>
          <w:szCs w:val="20"/>
          <w:lang w:val="es-ES"/>
        </w:rPr>
        <w:t>, la explotación de carne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N5/Asistir a las jornadas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104">
                <wp:simplePos x="0" y="0"/>
                <wp:positionH relativeFrom="column">
                  <wp:posOffset>0</wp:posOffset>
                </wp:positionH>
                <wp:positionV relativeFrom="paragraph">
                  <wp:posOffset>1270</wp:posOffset>
                </wp:positionV>
                <wp:extent cx="6515100" cy="635"/>
                <wp:effectExtent l="0" t="3175" r="0" b="3175"/>
                <wp:wrapNone/>
                <wp:docPr id="3"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06Subtitles"/>
        <w:rPr>
          <w:lang w:val="es-ES"/>
        </w:rPr>
      </w:pPr>
      <w:r>
        <w:rPr>
          <w:rFonts w:cs="" w:cstheme="minorBidi"/>
          <w:b w:val="false"/>
          <w:bCs w:val="false"/>
          <w:color w:val="153646"/>
          <w:sz w:val="20"/>
          <w:szCs w:val="20"/>
          <w:lang w:val="es-ES"/>
        </w:rPr>
        <w:t>Asimismo, la Agencia anima a cumplir con los compromisos recomendables siguientes siempre que sea posible para promocionar la marca y su establecimiento:</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N7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N8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Normal"/>
              <w:widowControl w:val="false"/>
              <w:suppressAutoHyphens w:val="true"/>
              <w:spacing w:before="40" w:after="80"/>
              <w:jc w:val="left"/>
              <w:rPr>
                <w:rFonts w:eastAsia="" w:cs=""/>
                <w:kern w:val="0"/>
                <w:sz w:val="20"/>
                <w:lang w:val="es-ES" w:eastAsia="en-US" w:bidi="ar-SA"/>
              </w:rPr>
            </w:pPr>
            <w:r>
              <w:rPr>
                <w:rFonts w:eastAsia="" w:cs="" w:ascii="Trebuchet MS" w:hAnsi="Trebuchet MS"/>
                <w:b/>
                <w:color w:val="FFFFFF" w:themeColor="background1"/>
                <w:kern w:val="0"/>
                <w:sz w:val="19"/>
                <w:szCs w:val="18"/>
                <w:lang w:val="es-ES" w:eastAsia="en-US" w:bidi="ar-SA"/>
              </w:rPr>
              <w:t>N9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N10 / Colabora activamente en la detección, erradicación y control de nuevas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bl>
    <w:p>
      <w:pPr>
        <w:pStyle w:val="03Tableregular"/>
        <w:rPr>
          <w:lang w:val="es-ES"/>
        </w:rPr>
      </w:pPr>
      <w:r>
        <w:rPr>
          <w:lang w:val="es-ES"/>
        </w:rPr>
      </w:r>
    </w:p>
    <w:p>
      <w:pPr>
        <w:pStyle w:val="06Subtitles"/>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8">
              <wp:simplePos x="0" y="0"/>
              <wp:positionH relativeFrom="column">
                <wp:posOffset>5456555</wp:posOffset>
              </wp:positionH>
              <wp:positionV relativeFrom="paragraph">
                <wp:posOffset>-177800</wp:posOffset>
              </wp:positionV>
              <wp:extent cx="297815" cy="360680"/>
              <wp:effectExtent l="0" t="0" r="0" b="0"/>
              <wp:wrapNone/>
              <wp:docPr id="4" name="Marco3"/>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3"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6">
              <wp:simplePos x="0" y="0"/>
              <wp:positionH relativeFrom="column">
                <wp:posOffset>5798185</wp:posOffset>
              </wp:positionH>
              <wp:positionV relativeFrom="paragraph">
                <wp:posOffset>-222250</wp:posOffset>
              </wp:positionV>
              <wp:extent cx="742315" cy="755015"/>
              <wp:effectExtent l="0" t="0" r="0" b="0"/>
              <wp:wrapNone/>
              <wp:docPr id="5" name="Marco5"/>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7"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5"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8"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09220" distR="114300" simplePos="0" locked="0" layoutInCell="0" allowOverlap="1" relativeHeight="98">
              <wp:simplePos x="0" y="0"/>
              <wp:positionH relativeFrom="column">
                <wp:posOffset>-29210</wp:posOffset>
              </wp:positionH>
              <wp:positionV relativeFrom="paragraph">
                <wp:posOffset>-102235</wp:posOffset>
              </wp:positionV>
              <wp:extent cx="4801235" cy="459740"/>
              <wp:effectExtent l="0" t="0" r="0" b="0"/>
              <wp:wrapSquare wrapText="bothSides"/>
              <wp:docPr id="6" name="Marco4"/>
              <a:graphic xmlns:a="http://schemas.openxmlformats.org/drawingml/2006/main">
                <a:graphicData uri="http://schemas.microsoft.com/office/word/2010/wordprocessingShape">
                  <wps:wsp>
                    <wps:cNvSpPr/>
                    <wps:spPr>
                      <a:xfrm>
                        <a:off x="0" y="0"/>
                        <a:ext cx="4801320" cy="459720"/>
                      </a:xfrm>
                      <a:prstGeom prst="rect">
                        <a:avLst/>
                      </a:prstGeom>
                      <a:noFill/>
                      <a:ln w="0">
                        <a:noFill/>
                      </a:ln>
                    </wps:spPr>
                    <wps:style>
                      <a:lnRef idx="0"/>
                      <a:fillRef idx="0"/>
                      <a:effectRef idx="0"/>
                      <a:fontRef idx="minor"/>
                    </wps:style>
                    <wps:txb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4" path="m0,0l-2147483645,0l-2147483645,-2147483646l0,-2147483646xe" stroked="f" o:allowincell="f" style="position:absolute;margin-left:-2.3pt;margin-top:-8.05pt;width:378pt;height:36.15pt;mso-wrap-style:square;v-text-anchor:top">
              <v:fill o:detectmouseclick="t" on="false"/>
              <v:stroke color="#3465a4" joinstyle="round" endcap="flat"/>
              <v:textbox>
                <w:txbxContent>
                  <w:p>
                    <w:pPr>
                      <w:pStyle w:val="Standard"/>
                      <w:spacing w:lineRule="auto" w:line="300"/>
                      <w:rPr>
                        <w:rFonts w:ascii="Trebuchet MS" w:hAnsi="Trebuchet MS" w:eastAsia="Calibri" w:cs="Arial"/>
                        <w:b/>
                        <w:color w:val="002B49"/>
                        <w:sz w:val="22"/>
                        <w:szCs w:val="22"/>
                      </w:rPr>
                    </w:pPr>
                    <w:r>
                      <w:rPr>
                        <w:rFonts w:eastAsia="Calibri" w:cs="Arial" w:ascii="Trebuchet MS" w:hAnsi="Trebuchet MS"/>
                        <w:b/>
                        <w:color w:val="002B49"/>
                        <w:sz w:val="22"/>
                        <w:szCs w:val="22"/>
                      </w:rPr>
                      <w:t>MEMORIA EXPLICATIVA</w:t>
                    </w:r>
                  </w:p>
                  <w:p>
                    <w:pPr>
                      <w:pStyle w:val="Standard"/>
                      <w:spacing w:lineRule="auto" w:line="300"/>
                      <w:rPr/>
                    </w:pPr>
                    <w:r>
                      <w:rPr>
                        <w:rFonts w:eastAsia="Calibri" w:cs="Arial" w:ascii="Trebuchet MS" w:hAnsi="Trebuchet MS"/>
                        <w:color w:val="002B49"/>
                        <w:sz w:val="19"/>
                        <w:szCs w:val="19"/>
                      </w:rPr>
                      <w:t>Solicitud de uso de la marca y el logotipo “MENORCA RESERVA DE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71">
              <wp:simplePos x="0" y="0"/>
              <wp:positionH relativeFrom="column">
                <wp:posOffset>0</wp:posOffset>
              </wp:positionH>
              <wp:positionV relativeFrom="paragraph">
                <wp:posOffset>143510</wp:posOffset>
              </wp:positionV>
              <wp:extent cx="6515100" cy="635"/>
              <wp:effectExtent l="0" t="3175" r="0" b="3175"/>
              <wp:wrapNone/>
              <wp:docPr id="7"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586d93"/>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425644"/>
    <w:pPr>
      <w:spacing w:lineRule="auto" w:line="276" w:before="0" w:after="140"/>
    </w:pPr>
    <w:rPr/>
  </w:style>
  <w:style w:type="paragraph" w:styleId="Lista">
    <w:name w:val="List"/>
    <w:basedOn w:val="Cuerpodetexto"/>
    <w:rsid w:val="00425644"/>
    <w:pPr/>
    <w:rPr>
      <w:rFonts w:cs="Lucida Sans"/>
    </w:rPr>
  </w:style>
  <w:style w:type="paragraph" w:styleId="Leyenda" w:customStyle="1">
    <w:name w:val="Caption"/>
    <w:basedOn w:val="Normal"/>
    <w:qFormat/>
    <w:rsid w:val="00425644"/>
    <w:pPr>
      <w:suppressLineNumbers/>
      <w:spacing w:before="120" w:after="120"/>
    </w:pPr>
    <w:rPr>
      <w:rFonts w:cs="Lucida Sans"/>
      <w:i/>
      <w:iCs/>
      <w:sz w:val="24"/>
      <w:szCs w:val="24"/>
    </w:rPr>
  </w:style>
  <w:style w:type="paragraph" w:styleId="Ndice" w:customStyle="1">
    <w:name w:val="Índice"/>
    <w:basedOn w:val="Normal"/>
    <w:qFormat/>
    <w:rsid w:val="00425644"/>
    <w:pPr>
      <w:suppressLineNumbers/>
    </w:pPr>
    <w:rPr>
      <w:rFonts w:cs="Lucida Sans"/>
    </w:rPr>
  </w:style>
  <w:style w:type="paragraph" w:styleId="Ttulogeneral">
    <w:name w:val="Title"/>
    <w:basedOn w:val="Normal"/>
    <w:next w:val="Cuerpodetexto"/>
    <w:qFormat/>
    <w:rsid w:val="00425644"/>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bd4316"/>
    <w:pPr>
      <w:spacing w:before="120" w:after="120"/>
    </w:pPr>
    <w:rPr>
      <w:i/>
      <w:sz w:val="17"/>
      <w:szCs w:val="17"/>
    </w:rPr>
  </w:style>
  <w:style w:type="paragraph" w:styleId="Contenidodelmarco" w:customStyle="1">
    <w:name w:val="Contenido del marco"/>
    <w:basedOn w:val="Normal"/>
    <w:qFormat/>
    <w:rsid w:val="00425644"/>
    <w:pPr/>
    <w:rPr/>
  </w:style>
  <w:style w:type="paragraph" w:styleId="BalloonText">
    <w:name w:val="Balloon Text"/>
    <w:basedOn w:val="Normal"/>
    <w:link w:val="TextodegloboCar"/>
    <w:uiPriority w:val="99"/>
    <w:semiHidden/>
    <w:unhideWhenUsed/>
    <w:qFormat/>
    <w:rsid w:val="00586d93"/>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232D-2B73-BC4D-9A27-21933707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Application>LibreOffice/7.5.7.1$Windows_X86_64 LibreOffice_project/47eb0cf7efbacdee9b19ae25d6752381ede23126</Application>
  <AppVersion>15.0000</AppVersion>
  <Pages>14</Pages>
  <Words>2572</Words>
  <Characters>14048</Characters>
  <CharactersWithSpaces>16380</CharactersWithSpaces>
  <Paragraphs>239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2019-07-16T13:07:00Z</dcterms:created>
  <dc:creator>Microsoft Office User</dc:creator>
  <dc:description/>
  <dc:language>es-ES</dc:language>
  <cp:lastModifiedBy/>
  <cp:lastPrinted>2019-06-18T15:52:00Z</cp:lastPrinted>
  <dcterms:modified xsi:type="dcterms:W3CDTF">2025-05-06T12:10:18Z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