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rPr/>
      </w:pPr>
      <w:r>
        <w:rPr>
          <w:rStyle w:val="Strong"/>
          <w:rFonts w:ascii="Trebuchet MS" w:hAnsi="Trebuchet MS"/>
          <w:color w:val="00AFAA"/>
          <w:sz w:val="20"/>
          <w:lang w:val="es-ES"/>
        </w:rPr>
        <w:t>CATEGORÍA 7:</w:t>
      </w:r>
    </w:p>
    <w:p>
      <w:pPr>
        <w:pStyle w:val="Normal"/>
        <w:rPr>
          <w:lang w:val="es-ES"/>
        </w:rPr>
      </w:pPr>
      <w:r>
        <w:rPr>
          <w:rFonts w:cs="MinionPro-Regular" w:ascii="Trebuchet MS" w:hAnsi="Trebuchet MS"/>
          <w:b/>
          <w:bCs/>
          <w:color w:val="002B49"/>
          <w:sz w:val="54"/>
          <w:szCs w:val="54"/>
          <w:lang w:val="es-ES"/>
        </w:rPr>
        <w:t>Empresas Productoras De Vino</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6"/>
                <w:szCs w:val="16"/>
                <w:lang w:val="es-ES" w:eastAsia="en-US" w:bidi="ar-SA"/>
              </w:rPr>
              <w:t>Nombre empresa Productora de vino:</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153646"/>
                <w:kern w:val="0"/>
                <w:sz w:val="16"/>
                <w:szCs w:val="16"/>
                <w:lang w:val="es-ES" w:eastAsia="en-US" w:bidi="ar-SA"/>
              </w:rPr>
              <w:t>Núm. de IGP (indicación geográfica protegida):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bl>
    <w:p>
      <w:pPr>
        <w:pStyle w:val="Normal"/>
        <w:spacing w:lineRule="auto" w:line="276"/>
        <w:rPr>
          <w:color w:val="002B49"/>
          <w:lang w:val="es-ES"/>
        </w:rPr>
      </w:pPr>
      <w:r>
        <w:rPr>
          <w:color w:val="002B49"/>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11313"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Standard"/>
              <w:widowControl w:val="false"/>
              <w:spacing w:lineRule="auto" w:line="276" w:before="0" w:after="0"/>
              <w:jc w:val="left"/>
              <w:rPr>
                <w:rFonts w:ascii="Trebuchet MS" w:hAnsi="Trebuchet MS" w:eastAsia="" w:cs="" w:cstheme="minorBidi" w:eastAsiaTheme="minorEastAsia"/>
                <w:color w:val="595959" w:themeColor="text1" w:themeTint="a6"/>
                <w:kern w:val="0"/>
                <w:sz w:val="18"/>
                <w:szCs w:val="18"/>
                <w:lang w:val="es-ES" w:eastAsia="en-US" w:bidi="ar-SA"/>
              </w:rPr>
            </w:pPr>
            <w:r>
              <w:rPr>
                <w:rFonts w:eastAsia="" w:cs="" w:cstheme="minorBidi" w:eastAsiaTheme="minorEastAsia"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Normal"/>
        <w:rPr>
          <w:rFonts w:ascii="Trebuchet MS" w:hAnsi="Trebuchet MS"/>
          <w:color w:val="153646"/>
          <w:lang w:val="es-ES"/>
        </w:rPr>
      </w:pPr>
      <w:r>
        <w:rPr>
          <w:rFonts w:ascii="Trebuchet MS" w:hAnsi="Trebuchet MS"/>
          <w:color w:val="153646"/>
          <w:lang w:val="es-ES"/>
        </w:rPr>
      </w:r>
    </w:p>
    <w:p>
      <w:pPr>
        <w:pStyle w:val="Normal"/>
        <w:rPr>
          <w:rFonts w:ascii="Trebuchet MS" w:hAnsi="Trebuchet MS"/>
          <w:color w:val="153646"/>
          <w:lang w:val="es-ES"/>
        </w:rPr>
      </w:pPr>
      <w:r>
        <w:rPr>
          <w:rFonts w:ascii="Trebuchet MS" w:hAnsi="Trebuchet MS"/>
          <w:color w:val="153646"/>
          <w:lang w:val="es-ES"/>
        </w:rPr>
      </w:r>
    </w:p>
    <w:p>
      <w:pPr>
        <w:pStyle w:val="Normal"/>
        <w:rPr>
          <w:rFonts w:ascii="Trebuchet MS" w:hAnsi="Trebuchet MS"/>
          <w:color w:val="153646"/>
          <w:lang w:val="es-ES"/>
        </w:rPr>
      </w:pPr>
      <w:r>
        <w:rPr>
          <w:rFonts w:ascii="Trebuchet MS" w:hAnsi="Trebuchet MS"/>
          <w:color w:val="153646"/>
          <w:lang w:val="es-ES"/>
        </w:rPr>
      </w:r>
    </w:p>
    <w:p>
      <w:pPr>
        <w:pStyle w:val="Normal"/>
        <w:rPr>
          <w:lang w:val="es-ES"/>
        </w:rPr>
      </w:pPr>
      <w:r>
        <w:rPr>
          <w:rFonts w:ascii="Trebuchet MS" w:hAnsi="Trebuchet MS"/>
          <w:color w:val="153646"/>
          <w:lang w:val="es-ES"/>
        </w:rPr>
        <w:t xml:space="preserve">Para poder solicitar el uso de la marca y el logotipo </w:t>
      </w:r>
      <w:r>
        <w:rPr>
          <w:b/>
          <w:color w:val="00AFAA"/>
          <w:lang w:val="es-ES"/>
        </w:rPr>
        <w:t>“Menorca Reserva de Biosfera”</w:t>
      </w:r>
      <w:r>
        <w:rPr>
          <w:rFonts w:ascii="Trebuchet MS" w:hAnsi="Trebuchet MS"/>
          <w:color w:val="153646"/>
          <w:lang w:val="es-ES"/>
        </w:rPr>
        <w:t xml:space="preserve">, la empresa Productora de vino debe cumplir los </w:t>
      </w:r>
      <w:r>
        <w:rPr>
          <w:rFonts w:ascii="Trebuchet MS" w:hAnsi="Trebuchet MS"/>
          <w:b/>
          <w:bCs/>
          <w:color w:val="153646"/>
          <w:lang w:val="es-ES"/>
        </w:rPr>
        <w:t>9 requisitos obligatorios</w:t>
      </w:r>
      <w:r>
        <w:rPr>
          <w:rFonts w:ascii="Trebuchet MS" w:hAnsi="Trebuchet MS"/>
          <w:color w:val="153646"/>
          <w:lang w:val="es-ES"/>
        </w:rPr>
        <w:t xml:space="preserve"> siguientes:</w:t>
      </w:r>
    </w:p>
    <w:p>
      <w:pPr>
        <w:pStyle w:val="10Regular"/>
        <w:rPr>
          <w:lang w:val="es-ES"/>
        </w:rPr>
      </w:pPr>
      <w:r>
        <w:rPr>
          <w:lang w:val="es-ES"/>
        </w:rPr>
      </w:r>
    </w:p>
    <w:p>
      <w:pPr>
        <w:pStyle w:val="10Regular"/>
        <w:rPr>
          <w:lang w:val="es-ES"/>
        </w:rPr>
      </w:pPr>
      <w:r>
        <w:rPr>
          <w:lang w:val="es-ES"/>
        </w:rPr>
      </w:r>
    </w:p>
    <w:p>
      <w:pPr>
        <w:pStyle w:val="Normal"/>
        <w:rPr>
          <w:lang w:val="es-ES"/>
        </w:rPr>
      </w:pPr>
      <w:r>
        <w:rPr>
          <w:rFonts w:ascii="Trebuchet MS" w:hAnsi="Trebuchet MS"/>
          <w:b/>
          <w:color w:val="002B49"/>
          <w:sz w:val="40"/>
          <w:szCs w:val="40"/>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Cumple lo que dispone la Orden del consejero de Agricultura, Medio Ambiente y Territorio de 28 de agosto de 2013 por la cual se aprobó el Pliego de condiciones de la IGP «Illa de Menorca / Isla de Menorca» (BOIB núm. 122 de 3 de septiembre de 2013), o el que esté en vigor en el momento de la solicitud.</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ascii="Trebuchet MS" w:hAnsi="Trebuchet MS"/>
                <w:color w:val="153646"/>
                <w:sz w:val="18"/>
              </w:rPr>
            </w:pPr>
            <w:r>
              <w:rPr>
                <w:rFonts w:ascii="Trebuchet MS" w:hAnsi="Trebuchet MS"/>
                <w:color w:val="153646"/>
                <w:sz w:val="18"/>
              </w:rPr>
            </w:r>
          </w:p>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vino cumple los requisitos establecidos por la IGP "Illa de Menorca / Isla de Menorca". Solo los vinos amparados con la  IGP pueden utilizar la marca.</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Debe haber declarado en la IGP "Illa de Menorca / Isla de Menorca" el inicio de actividad como productora de vino.</w:t>
            </w:r>
          </w:p>
        </w:tc>
      </w:tr>
      <w:tr>
        <w:trPr>
          <w:trHeight w:val="566"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lang w:val="es-ES"/>
        </w:rPr>
      </w:pPr>
      <w:r>
        <mc:AlternateContent>
          <mc:Choice Requires="wps">
            <w:drawing>
              <wp:anchor behindDoc="0" distT="0" distB="0" distL="0" distR="0" simplePos="0" locked="0" layoutInCell="0" allowOverlap="1" relativeHeight="93">
                <wp:simplePos x="0" y="0"/>
                <wp:positionH relativeFrom="page">
                  <wp:posOffset>508000</wp:posOffset>
                </wp:positionH>
                <wp:positionV relativeFrom="paragraph">
                  <wp:posOffset>305435</wp:posOffset>
                </wp:positionV>
                <wp:extent cx="6343015" cy="972185"/>
                <wp:effectExtent l="0" t="0" r="0" b="0"/>
                <wp:wrapNone/>
                <wp:docPr id="1" name="Marco1"/>
                <a:graphic xmlns:a="http://schemas.openxmlformats.org/drawingml/2006/main">
                  <a:graphicData uri="http://schemas.microsoft.com/office/word/2010/wordprocessingShape">
                    <wps:wsp>
                      <wps:cNvSpPr/>
                      <wps:spPr>
                        <a:xfrm>
                          <a:off x="0" y="0"/>
                          <a:ext cx="6342840" cy="97236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por el Departamento de Medio Ambiente y Reserva de Biosfera del Consell Insular de Menorca, y solicito que este requisito sea contrastado con este departamento.</w:t>
                                  </w:r>
                                </w:p>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IGP "Illa de Menorca / Isla de Menorca": Comunicación anual previa de inicio de actividad de elaborador / embotellador de vino de IGP.</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0pt;margin-top:24.05pt;width:499.4pt;height:76.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por el Departamento de Medio Ambiente y Reserva de Biosfera del Consell Insular de Menorca, y solicito que este requisito sea contrastado con este departamento.</w:t>
                            </w:r>
                          </w:p>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IGP "Illa de Menorca / Isla de Menorca": Comunicación anual previa de inicio de actividad de elaborador / embotellador de vino de IGP.</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3Tableregular"/>
        <w:rPr>
          <w:lang w:val="es-ES"/>
        </w:rPr>
      </w:pPr>
      <w:r>
        <w:rPr>
          <w:lang w:val="es-ES"/>
        </w:rPr>
      </w:r>
    </w:p>
    <w:p>
      <w:pPr>
        <w:pStyle w:val="Head1"/>
        <w:keepNext w:val="true"/>
        <w:keepLines/>
        <w:rPr>
          <w:lang w:val="es-ES"/>
        </w:rPr>
      </w:pPr>
      <w:r>
        <w:rPr>
          <w:rFonts w:ascii="Trebuchet MS" w:hAnsi="Trebuchet MS"/>
          <w:b/>
          <w:color w:val="00AFAA"/>
          <w:sz w:val="22"/>
          <w:szCs w:val="22"/>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D3 / Cumple la normativa vigente en relación con el uso sostenible de productos fitosanitarios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cumplir la normativa vigente en relación con el uso sostenible de productos fitosanitarios. Por esta razón debe llevar una gestión integrada de plagas, justificante de estar adscrito a una agrupación de defensa vegetal (ADV) o tener un asesor en control integral de plagas.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Es necesario adjuntar número de carnet de usuario profesional de productos fitosanitarios.</w:t>
            </w:r>
          </w:p>
          <w:p>
            <w:pPr>
              <w:pStyle w:val="03Tableregular"/>
              <w:widowControl w:val="false"/>
              <w:suppressAutoHyphens w:val="true"/>
              <w:spacing w:before="320" w:after="320"/>
              <w:jc w:val="left"/>
              <w:rPr>
                <w:rFonts w:eastAsia="" w:cs=""/>
                <w:kern w:val="0"/>
                <w:lang w:val="es-ES" w:eastAsia="en-US" w:bidi="ar-SA"/>
              </w:rPr>
            </w:pPr>
            <w:r>
              <w:rPr>
                <w:rFonts w:eastAsia="" w:cs=""/>
                <w:color w:val="153646"/>
                <w:kern w:val="0"/>
                <w:sz w:val="18"/>
                <w:lang w:val="es-ES" w:eastAsia="en-US" w:bidi="ar-SA"/>
              </w:rPr>
              <w:t>Es necesario</w:t>
            </w:r>
            <w:r>
              <w:rPr>
                <w:rFonts w:eastAsia="" w:cs=""/>
                <w:kern w:val="0"/>
                <w:lang w:val="es-ES" w:eastAsia="en-US" w:bidi="ar-SA"/>
              </w:rPr>
              <w:t xml:space="preserve"> adjuntar certificado de pertenencia a una ADV o certificado del asesor de la explotación que indique que cumple la normativa especial de gestión integrada de plagas.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95">
                <wp:simplePos x="0" y="0"/>
                <wp:positionH relativeFrom="page">
                  <wp:posOffset>508000</wp:posOffset>
                </wp:positionH>
                <wp:positionV relativeFrom="paragraph">
                  <wp:posOffset>305435</wp:posOffset>
                </wp:positionV>
                <wp:extent cx="6343015" cy="876300"/>
                <wp:effectExtent l="0" t="0" r="0" b="0"/>
                <wp:wrapNone/>
                <wp:docPr id="2" name="Marco2"/>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2" path="m0,0l-2147483645,0l-2147483645,-2147483646l0,-2147483646xe" stroked="f" o:allowincell="f" style="position:absolute;margin-left:40pt;margin-top:24.05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D4 / Realiza seguimiento sobre el consumo de energía y agua (electricidad, gas, gasoil...)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color w:val="153646"/>
                <w:kern w:val="0"/>
                <w:sz w:val="18"/>
                <w:lang w:val="es-ES" w:eastAsia="en-US" w:bidi="ar-SA"/>
              </w:rPr>
              <w:t>Es necesario</w:t>
            </w:r>
            <w:r>
              <w:rPr>
                <w:rFonts w:eastAsia="" w:cs=""/>
                <w:kern w:val="0"/>
                <w:lang w:val="es-ES" w:eastAsia="en-US" w:bidi="ar-SA"/>
              </w:rPr>
              <w:t xml:space="preserve"> indicar el seguimiento del consumo de energía y agua de la empresa productora de vino de todo el último año.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Es necesario adjuntar documento de seguimiento del consumo de energía y agua de la empresa productora de vino de todo el último año.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Reemplaza las bombillas incandescentes y halógenas por otras de bajo consumo o LED</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utiliza bombillas de bajo consumo o LED en toda la  empresa.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cuándo se realizó el cambio a bombilla de bajo consumo o LED y cuántas bombillas se cambiaron.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 ...</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Adopta medidas para el ahorro de luz: interruptores temporizados, células de iluminación automática ...</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vino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color w:val="153646"/>
                <w:kern w:val="0"/>
                <w:sz w:val="18"/>
                <w:lang w:val="es-ES" w:eastAsia="en-US" w:bidi="ar-SA"/>
              </w:rPr>
              <w:t>Es necesario</w:t>
            </w:r>
            <w:r>
              <w:rPr>
                <w:rFonts w:eastAsia="" w:cs=""/>
                <w:kern w:val="0"/>
                <w:lang w:val="es-ES" w:eastAsia="en-US" w:bidi="ar-SA"/>
              </w:rPr>
              <w:t xml:space="preserve"> adjuntar listado de medidas tomadas por la empresa productora de vino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color w:val="153646"/>
                <w:kern w:val="0"/>
                <w:sz w:val="18"/>
                <w:lang w:val="es-ES" w:eastAsia="en-US" w:bidi="ar-SA"/>
              </w:rPr>
              <w:t>Es necesario</w:t>
            </w:r>
            <w:r>
              <w:rPr>
                <w:rFonts w:eastAsia="" w:cs=""/>
                <w:kern w:val="0"/>
                <w:lang w:val="es-ES" w:eastAsia="en-US" w:bidi="ar-SA"/>
              </w:rPr>
              <w:t xml:space="preserve"> adjuntar la lista de medidas tomadas por la empresa </w:t>
            </w:r>
            <w:bookmarkStart w:id="0" w:name="__DdeLink__804_2731052009"/>
            <w:r>
              <w:rPr>
                <w:rFonts w:eastAsia="" w:cs=""/>
                <w:kern w:val="0"/>
                <w:lang w:val="es-ES" w:eastAsia="en-US" w:bidi="ar-SA"/>
              </w:rPr>
              <w:t>productora</w:t>
            </w:r>
            <w:bookmarkEnd w:id="0"/>
            <w:r>
              <w:rPr>
                <w:rFonts w:eastAsia="" w:cs=""/>
                <w:kern w:val="0"/>
                <w:lang w:val="es-ES" w:eastAsia="en-US" w:bidi="ar-SA"/>
              </w:rPr>
              <w:t xml:space="preserve"> de vino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Prioriza materiales reciclados, reutilizables y/o reciclables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utilizar siempre que sea posible materiales reciclados, reutilizables y/o reciclables.</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Explicar como se prioriza en la utilización de materiales reciclados, reutilizables y/o reciclables en la empresa productora de vino.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Texto explicativo…</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D9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disponer de contenedores de recogida selectiva y encargarse del adecuado tratamiento posterior.</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 fotografías justificativas de los contenedores de reciclaje de residuos. Especialmente se debe adjuntar los últimos albaranes de recogida de SIGFITO y PLÁSTICOS AGRARIOS.</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lang w:val="es-ES"/>
        </w:rPr>
      </w:pPr>
      <w:r>
        <w:rPr>
          <w:lang w:val="es-ES"/>
        </w:rPr>
      </w:r>
    </w:p>
    <w:p>
      <w:pPr>
        <w:pStyle w:val="04Openfields"/>
        <w:rPr>
          <w:lang w:val="es-ES"/>
        </w:rPr>
      </w:pPr>
      <w:r>
        <mc:AlternateContent>
          <mc:Choice Requires="wps">
            <w:drawing>
              <wp:anchor behindDoc="0" distT="0" distB="0" distL="0" distR="0" simplePos="0" locked="0" layoutInCell="0" allowOverlap="1" relativeHeight="97">
                <wp:simplePos x="0" y="0"/>
                <wp:positionH relativeFrom="page">
                  <wp:posOffset>508000</wp:posOffset>
                </wp:positionH>
                <wp:positionV relativeFrom="paragraph">
                  <wp:posOffset>227330</wp:posOffset>
                </wp:positionV>
                <wp:extent cx="6343015" cy="876300"/>
                <wp:effectExtent l="0" t="0" r="0" b="0"/>
                <wp:wrapNone/>
                <wp:docPr id="3" name="Marco3"/>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3" path="m0,0l-2147483645,0l-2147483645,-2147483646l0,-2147483646xe" stroked="f" o:allowincell="f" style="position:absolute;margin-left:40pt;margin-top:17.9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Normal"/>
        <w:spacing w:lineRule="auto" w:line="276"/>
        <w:rPr>
          <w:rFonts w:ascii="Trebuchet MS" w:hAnsi="Trebuchet MS"/>
          <w:color w:val="153646"/>
          <w:lang w:val="es-ES"/>
        </w:rPr>
      </w:pPr>
      <w:r>
        <w:rPr>
          <w:rFonts w:ascii="Trebuchet MS" w:hAnsi="Trebuchet MS"/>
          <w:color w:val="153646"/>
          <w:lang w:val="es-ES"/>
        </w:rPr>
      </w:r>
    </w:p>
    <w:p>
      <w:pPr>
        <w:pStyle w:val="Normal"/>
        <w:spacing w:lineRule="auto" w:line="276"/>
        <w:rPr>
          <w:rFonts w:ascii="Trebuchet MS" w:hAnsi="Trebuchet MS"/>
          <w:color w:val="153646"/>
          <w:lang w:val="es-ES"/>
        </w:rPr>
      </w:pPr>
      <w:r>
        <w:rPr>
          <w:rFonts w:ascii="Trebuchet MS" w:hAnsi="Trebuchet MS"/>
          <w:color w:val="153646"/>
          <w:lang w:val="es-ES"/>
        </w:rPr>
      </w:r>
    </w:p>
    <w:p>
      <w:pPr>
        <w:pStyle w:val="Normal"/>
        <w:spacing w:lineRule="auto" w:line="276"/>
        <w:rPr>
          <w:rFonts w:ascii="Trebuchet MS" w:hAnsi="Trebuchet MS"/>
          <w:color w:val="153646"/>
          <w:lang w:val="es-ES"/>
        </w:rPr>
      </w:pPr>
      <w:r>
        <w:rPr>
          <w:rFonts w:ascii="Trebuchet MS" w:hAnsi="Trebuchet MS"/>
          <w:color w:val="153646"/>
          <w:lang w:val="es-ES"/>
        </w:rPr>
      </w:r>
    </w:p>
    <w:p>
      <w:pPr>
        <w:pStyle w:val="Normal"/>
        <w:spacing w:lineRule="auto" w:line="276"/>
        <w:rPr>
          <w:rFonts w:ascii="Trebuchet MS" w:hAnsi="Trebuchet MS"/>
          <w:color w:val="153646"/>
          <w:lang w:val="es-ES"/>
        </w:rPr>
      </w:pPr>
      <w:r>
        <w:rPr>
          <w:rFonts w:ascii="Trebuchet MS" w:hAnsi="Trebuchet MS"/>
          <w:color w:val="153646"/>
          <w:lang w:val="es-ES"/>
        </w:rPr>
      </w:r>
    </w:p>
    <w:p>
      <w:pPr>
        <w:pStyle w:val="Normal"/>
        <w:spacing w:lineRule="auto" w:line="276"/>
        <w:rPr>
          <w:rFonts w:ascii="Trebuchet MS" w:hAnsi="Trebuchet MS"/>
          <w:color w:val="153646"/>
          <w:lang w:val="es-ES"/>
        </w:rPr>
      </w:pPr>
      <w:r>
        <w:rPr>
          <w:rFonts w:ascii="Trebuchet MS" w:hAnsi="Trebuchet MS"/>
          <w:color w:val="153646"/>
          <w:lang w:val="es-ES"/>
        </w:rPr>
      </w:r>
    </w:p>
    <w:p>
      <w:pPr>
        <w:pStyle w:val="Normal"/>
        <w:spacing w:lineRule="auto" w:line="276"/>
        <w:rPr>
          <w:lang w:val="es-ES"/>
        </w:rPr>
      </w:pPr>
      <w:r>
        <w:rPr>
          <w:rFonts w:ascii="Trebuchet MS" w:hAnsi="Trebuchet MS"/>
          <w:color w:val="153646"/>
          <w:lang w:val="es-ES"/>
        </w:rPr>
        <w:t xml:space="preserve">Para poder solicitar inicialmente el uso de la marca y el logotipo </w:t>
      </w:r>
      <w:r>
        <w:rPr>
          <w:b/>
          <w:color w:val="00AFAA"/>
          <w:lang w:val="es-ES"/>
        </w:rPr>
        <w:t>“Menorca Reserva de Biosfera”</w:t>
      </w:r>
      <w:r>
        <w:rPr>
          <w:rFonts w:ascii="Trebuchet MS" w:hAnsi="Trebuchet MS"/>
          <w:color w:val="153646"/>
          <w:lang w:val="es-ES"/>
        </w:rPr>
        <w:t xml:space="preserve">, la explotación de vino debe cumplir </w:t>
      </w:r>
      <w:r>
        <w:rPr>
          <w:rFonts w:ascii="Trebuchet MS" w:hAnsi="Trebuchet MS"/>
          <w:b/>
          <w:bCs/>
          <w:color w:val="153646"/>
          <w:lang w:val="es-ES"/>
        </w:rPr>
        <w:t>2 de los requisitos recomendables</w:t>
      </w:r>
      <w:r>
        <w:rPr>
          <w:rFonts w:ascii="Trebuchet MS" w:hAnsi="Trebuchet MS"/>
          <w:color w:val="153646"/>
          <w:lang w:val="es-ES"/>
        </w:rPr>
        <w:t xml:space="preserve">, además de comprometerse como mínimo a llegar a cumplir hasta </w:t>
      </w:r>
      <w:r>
        <w:rPr>
          <w:rFonts w:ascii="Trebuchet MS" w:hAnsi="Trebuchet MS"/>
          <w:b/>
          <w:bCs/>
          <w:color w:val="153646"/>
          <w:lang w:val="es-ES"/>
        </w:rPr>
        <w:t>5 del total de requisitos</w:t>
      </w:r>
      <w:r>
        <w:rPr>
          <w:rFonts w:ascii="Trebuchet MS" w:hAnsi="Trebuchet MS"/>
          <w:color w:val="153646"/>
          <w:lang w:val="es-ES"/>
        </w:rPr>
        <w:t xml:space="preserve"> recomendables durante los 3 próximos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I / Actividades de la empresa</w:t>
      </w:r>
      <w:r>
        <w:rPr>
          <w:lang w:val="es-ES"/>
        </w:rPr>
        <w:tab/>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E10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utilizar productos ecológicos certificados por el Consell Balear de Producció Ecològica (CBPAE).</w:t>
            </w:r>
          </w:p>
        </w:tc>
      </w:tr>
      <w:tr>
        <w:trPr>
          <w:trHeight w:val="71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ecológicos certificados por el CBPAE en la empresa productora de vino,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E11 / Producción integrada en el caso de especies que tengan regulada esta modalidad de producción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vino debe utilizar la producción integrada cuando produzca vino de especies reguladas para esta modalidad de producción.</w:t>
            </w:r>
          </w:p>
        </w:tc>
      </w:tr>
      <w:tr>
        <w:trPr>
          <w:trHeight w:val="73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de producción integrada que sigue la empresa productora de vino.</w:t>
            </w:r>
          </w:p>
        </w:tc>
      </w:tr>
      <w:tr>
        <w:trPr>
          <w:trHeight w:val="998"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Mantenimiento del suelo con cubierta verde permanente y/o incorporación de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mantiene de forma sostenible tierra con cubierta permanente y/o incorpora los restos de poda.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empresa productora de vino para mantener el suelo y adjuntar fotografía justificativa.</w:t>
            </w:r>
          </w:p>
        </w:tc>
      </w:tr>
      <w:tr>
        <w:trPr>
          <w:trHeight w:val="1142"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r>
        <w:trPr>
          <w:trHeight w:val="611"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acuerdo de custodia o contrato territorial.</w:t>
            </w:r>
          </w:p>
        </w:tc>
      </w:tr>
      <w:tr>
        <w:trPr>
          <w:trHeight w:val="85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
                <w:color w:val="808080" w:themeColor="background1" w:themeShade="80"/>
                <w:kern w:val="0"/>
                <w:szCs w:val="18"/>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inscrita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ascii="Trebuchet MS" w:hAnsi="Trebuchet MS" w:eastAsia="" w:cs=""/>
                <w:i/>
                <w:i/>
                <w:color w:val="808080" w:themeColor="background1" w:themeShade="80"/>
                <w:kern w:val="0"/>
                <w:sz w:val="17"/>
                <w:lang w:val="es-ES" w:eastAsia="en-US" w:bidi="ar-SA"/>
              </w:rPr>
            </w:pPr>
            <w:r>
              <w:rPr>
                <w:rFonts w:eastAsia="" w:cs="" w:ascii="Trebuchet MS" w:hAnsi="Trebuchet MS"/>
                <w:i/>
                <w:color w:val="808080" w:themeColor="background1" w:themeShade="80"/>
                <w:kern w:val="0"/>
                <w:sz w:val="17"/>
                <w:lang w:val="es-ES" w:eastAsia="en-US" w:bidi="ar-SA"/>
              </w:rPr>
            </w:r>
          </w:p>
          <w:p>
            <w:pPr>
              <w:pStyle w:val="Normal"/>
              <w:widowControl w:val="false"/>
              <w:suppressAutoHyphens w:val="true"/>
              <w:jc w:val="left"/>
              <w:rPr>
                <w:rFonts w:eastAsia="" w:cs=""/>
                <w:kern w:val="0"/>
                <w:sz w:val="20"/>
                <w:lang w:val="es-ES" w:eastAsia="en-US" w:bidi="ar-SA"/>
              </w:rPr>
            </w:pPr>
            <w:r>
              <w:rPr>
                <w:rFonts w:eastAsia="" w:cs="" w:ascii="Trebuchet MS" w:hAnsi="Trebuchet MS"/>
                <w:i/>
                <w:color w:val="808080" w:themeColor="background1" w:themeShade="80"/>
                <w:kern w:val="0"/>
                <w:sz w:val="17"/>
                <w:lang w:val="es-ES" w:eastAsia="en-US" w:bidi="ar-SA"/>
              </w:rPr>
              <w:t>La empresa productora de vino está inscrita en el catálogo de AGROXERXA con el nombre:    ____________________________________________</w:t>
            </w:r>
          </w:p>
          <w:p>
            <w:pPr>
              <w:pStyle w:val="Normal"/>
              <w:widowControl w:val="false"/>
              <w:suppressAutoHyphens w:val="true"/>
              <w:spacing w:before="40" w:after="80"/>
              <w:jc w:val="left"/>
              <w:rPr>
                <w:rFonts w:ascii="Trebuchet MS" w:hAnsi="Trebuchet MS" w:eastAsia="" w:cs=""/>
                <w:i/>
                <w:i/>
                <w:color w:val="808080" w:themeColor="background1" w:themeShade="80"/>
                <w:kern w:val="0"/>
                <w:sz w:val="17"/>
                <w:lang w:val="es-ES" w:eastAsia="en-US" w:bidi="ar-SA"/>
              </w:rPr>
            </w:pPr>
            <w:r>
              <w:rPr>
                <w:rFonts w:eastAsia="" w:cs="" w:ascii="Trebuchet MS" w:hAnsi="Trebuchet MS"/>
                <w:i/>
                <w:color w:val="808080" w:themeColor="background1" w:themeShade="80"/>
                <w:kern w:val="0"/>
                <w:sz w:val="17"/>
                <w:lang w:val="es-ES" w:eastAsia="en-US" w:bidi="ar-SA"/>
              </w:rPr>
            </w:r>
          </w:p>
        </w:tc>
      </w:tr>
    </w:tbl>
    <w:p>
      <w:pPr>
        <w:pStyle w:val="03Tableregular"/>
        <w:rPr>
          <w:lang w:val="es-ES"/>
        </w:rPr>
      </w:pPr>
      <w:r>
        <w:rPr>
          <w:lang w:val="es-ES"/>
        </w:rPr>
      </w:r>
    </w:p>
    <w:p>
      <w:pPr>
        <w:pStyle w:val="06Subtitles"/>
        <w:rPr>
          <w:lang w:val="es-ES"/>
        </w:rPr>
      </w:pPr>
      <w:r>
        <w:rPr>
          <w:lang w:val="es-ES"/>
        </w:rPr>
      </w:r>
    </w:p>
    <w:p>
      <w:pPr>
        <w:pStyle w:val="06Subtitles"/>
        <w:rPr>
          <w:lang w:val="es-ES"/>
        </w:rPr>
      </w:pPr>
      <w:r>
        <w:rPr>
          <w:lang w:val="es-ES"/>
        </w:rPr>
        <w:t>F / Mejoras en comportamiento ambiental / Gestión ambiental</w:t>
        <w:tab/>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F15 / Uso eficiente del agua de riego, utilizando sistemas de riego localizado, apoyándose en un sistema de cálculo de las necesidades de agua del cultivo o aplicando estrategias de riego deficitario.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realiza un uso eficiente del agua de riego.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les medidas que la empresa productora de vino sigue para hacer un uso eficiente del agua de regadío.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F16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disponer de equipos de cogeneración o sistemas de aprovechamiento de energías renovables.</w:t>
            </w:r>
          </w:p>
        </w:tc>
      </w:tr>
      <w:tr>
        <w:trPr>
          <w:trHeight w:val="68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equipos de cogeneración o sistemas de aprovechamiento de energías renovables de que dispone la empresa productora de vino.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F17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debe tomar medidas para la reducción de la contaminación lumínica en la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medidas para reducir la contaminación lumínica de la empresa productora de vino.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F18 / Utiliza sistema de depuración adecuado o está conectado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empresa productora de vino gestiona adecuadamente su saneamiento, de manera individualizada o conectada a la red de saneamiento municipal.</w:t>
            </w:r>
          </w:p>
        </w:tc>
      </w:tr>
      <w:tr>
        <w:trPr>
          <w:trHeight w:val="68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utiliza e ilustrarlo con fotografía justificativa. En caso de estar conectado al saneamiento municipal, indicar a cual.</w:t>
            </w:r>
          </w:p>
        </w:tc>
      </w:tr>
      <w:tr>
        <w:trPr>
          <w:trHeight w:val="1214"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F19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F20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productora de vino prioriza la utilización de productos de limpieza biodegradables/ecológicos.</w:t>
            </w:r>
          </w:p>
        </w:tc>
      </w:tr>
      <w:tr>
        <w:trPr>
          <w:trHeight w:val="74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6Subtitles"/>
        <w:rPr>
          <w:lang w:val="es-ES"/>
        </w:rPr>
      </w:pPr>
      <w:r>
        <w:rPr>
          <w:rFonts w:cs="" w:cstheme="minorBidi"/>
          <w:b w:val="false"/>
          <w:bCs w:val="false"/>
          <w:color w:val="153646"/>
          <w:sz w:val="20"/>
          <w:szCs w:val="20"/>
          <w:lang w:val="es-ES"/>
        </w:rPr>
        <w:t xml:space="preserve">Una vez concedido el uso de la marca y el logotipo </w:t>
      </w:r>
      <w:r>
        <w:rPr>
          <w:sz w:val="20"/>
          <w:szCs w:val="20"/>
          <w:lang w:val="es-ES"/>
        </w:rPr>
        <w:t>“Menorca Reserva de Biosfera”</w:t>
      </w:r>
      <w:r>
        <w:rPr>
          <w:rFonts w:cs="" w:cstheme="minorBidi"/>
          <w:b w:val="false"/>
          <w:bCs w:val="false"/>
          <w:color w:val="153646"/>
          <w:sz w:val="20"/>
          <w:szCs w:val="20"/>
          <w:lang w:val="es-ES"/>
        </w:rPr>
        <w:t>, la empresa productora de vino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 / Mantiene el distintivo de su pertenencia a la marca (plazo de 12 meses para instalarla desde la concesión)</w:t>
            </w:r>
            <w:bookmarkStart w:id="1" w:name="_GoBack"/>
            <w:bookmarkEnd w:id="1"/>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N2 / En su promoción utiliza recursos de la marca Menorca Reserva de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N5/ Asistir a les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99">
                <wp:simplePos x="0" y="0"/>
                <wp:positionH relativeFrom="column">
                  <wp:posOffset>0</wp:posOffset>
                </wp:positionH>
                <wp:positionV relativeFrom="paragraph">
                  <wp:posOffset>1270</wp:posOffset>
                </wp:positionV>
                <wp:extent cx="6515100" cy="635"/>
                <wp:effectExtent l="0" t="3175" r="0" b="3175"/>
                <wp:wrapNone/>
                <wp:docPr id="4"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06Subtitles"/>
        <w:rPr>
          <w:lang w:val="es-ES"/>
        </w:rPr>
      </w:pPr>
      <w:r>
        <w:rPr>
          <w:rFonts w:cs="" w:cstheme="minorBidi"/>
          <w:b w:val="false"/>
          <w:bCs w:val="false"/>
          <w:color w:val="153646"/>
          <w:sz w:val="20"/>
          <w:szCs w:val="20"/>
          <w:lang w:val="es-ES"/>
        </w:rPr>
        <w:t>Asimismo, la agencia anima a cumplir los compromisos recomendables siguientes siempre que sea posible para promocionar la marca y su establecimiento:</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N6 / Organiza y/o participa en eventos de promoción relacionados con la reserva de biosfera</w:t>
            </w:r>
          </w:p>
        </w:tc>
      </w:tr>
      <w:tr>
        <w:trPr>
          <w:trHeight w:val="88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N7 / Contrata personas en situación de vulnerabilidad: parados de larga duración, jóvenes parados, personas con discapacidad...</w:t>
            </w:r>
          </w:p>
        </w:tc>
      </w:tr>
      <w:tr>
        <w:trPr>
          <w:trHeight w:val="86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N8 / Organiza, participa y/o colabora en proyectos de interés y responsabilidad social</w:t>
            </w:r>
          </w:p>
        </w:tc>
      </w:tr>
      <w:tr>
        <w:trPr>
          <w:trHeight w:val="71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N9 / Colabora en estudios y/o proyectos impulsados por la Administración pública</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N10 / Colabora activamente en la detección, erradicación y control de nuevas plagas y enfermedades</w:t>
            </w:r>
          </w:p>
        </w:tc>
      </w:tr>
      <w:tr>
        <w:trPr>
          <w:trHeight w:val="87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7815" cy="360680"/>
              <wp:effectExtent l="0" t="0" r="0" b="0"/>
              <wp:wrapNone/>
              <wp:docPr id="5" name="Marco4"/>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4"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2315" cy="755015"/>
              <wp:effectExtent l="0" t="0" r="0" b="0"/>
              <wp:wrapNone/>
              <wp:docPr id="6" name="Marco6"/>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8"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6"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9"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08585" distR="114300" simplePos="0" locked="0" layoutInCell="0" allowOverlap="1" relativeHeight="91">
              <wp:simplePos x="0" y="0"/>
              <wp:positionH relativeFrom="column">
                <wp:posOffset>-29210</wp:posOffset>
              </wp:positionH>
              <wp:positionV relativeFrom="paragraph">
                <wp:posOffset>-102235</wp:posOffset>
              </wp:positionV>
              <wp:extent cx="4801235" cy="459740"/>
              <wp:effectExtent l="0" t="0" r="0" b="0"/>
              <wp:wrapSquare wrapText="bothSides"/>
              <wp:docPr id="7" name="Marco5"/>
              <a:graphic xmlns:a="http://schemas.openxmlformats.org/drawingml/2006/main">
                <a:graphicData uri="http://schemas.microsoft.com/office/word/2010/wordprocessingShape">
                  <wps:wsp>
                    <wps:cNvSpPr/>
                    <wps:spPr>
                      <a:xfrm>
                        <a:off x="0" y="0"/>
                        <a:ext cx="4801320" cy="45972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5" path="m0,0l-2147483645,0l-2147483645,-2147483646l0,-2147483646xe" stroked="f" o:allowincell="f" style="position:absolute;margin-left:-2.3pt;margin-top:-8.05pt;width:378pt;height:36.15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143510</wp:posOffset>
              </wp:positionV>
              <wp:extent cx="6515100" cy="635"/>
              <wp:effectExtent l="0" t="3175" r="0" b="3175"/>
              <wp:wrapNone/>
              <wp:docPr id="8"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c503ac"/>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f63c82"/>
    <w:pPr>
      <w:spacing w:lineRule="auto" w:line="276" w:before="0" w:after="140"/>
    </w:pPr>
    <w:rPr/>
  </w:style>
  <w:style w:type="paragraph" w:styleId="Lista">
    <w:name w:val="List"/>
    <w:basedOn w:val="Cuerpodetexto"/>
    <w:rsid w:val="00f63c82"/>
    <w:pPr/>
    <w:rPr>
      <w:rFonts w:cs="Lucida Sans"/>
    </w:rPr>
  </w:style>
  <w:style w:type="paragraph" w:styleId="Leyenda" w:customStyle="1">
    <w:name w:val="Caption"/>
    <w:basedOn w:val="Normal"/>
    <w:qFormat/>
    <w:rsid w:val="00f63c82"/>
    <w:pPr>
      <w:suppressLineNumbers/>
      <w:spacing w:before="120" w:after="120"/>
    </w:pPr>
    <w:rPr>
      <w:rFonts w:cs="Lucida Sans"/>
      <w:i/>
      <w:iCs/>
      <w:sz w:val="24"/>
      <w:szCs w:val="24"/>
    </w:rPr>
  </w:style>
  <w:style w:type="paragraph" w:styleId="Ndice" w:customStyle="1">
    <w:name w:val="Índice"/>
    <w:basedOn w:val="Normal"/>
    <w:qFormat/>
    <w:rsid w:val="00f63c82"/>
    <w:pPr>
      <w:suppressLineNumbers/>
    </w:pPr>
    <w:rPr>
      <w:rFonts w:cs="Lucida Sans"/>
    </w:rPr>
  </w:style>
  <w:style w:type="paragraph" w:styleId="Ttulogeneral">
    <w:name w:val="Title"/>
    <w:basedOn w:val="Normal"/>
    <w:next w:val="Cuerpodetexto"/>
    <w:qFormat/>
    <w:rsid w:val="00f63c82"/>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2f4bec"/>
    <w:pPr>
      <w:spacing w:before="120" w:after="120"/>
    </w:pPr>
    <w:rPr>
      <w:i/>
      <w:sz w:val="17"/>
      <w:szCs w:val="17"/>
    </w:rPr>
  </w:style>
  <w:style w:type="paragraph" w:styleId="Contenidodelmarco" w:customStyle="1">
    <w:name w:val="Contenido del marco"/>
    <w:basedOn w:val="Normal"/>
    <w:qFormat/>
    <w:rsid w:val="00f63c82"/>
    <w:pPr/>
    <w:rPr/>
  </w:style>
  <w:style w:type="paragraph" w:styleId="BalloonText">
    <w:name w:val="Balloon Text"/>
    <w:basedOn w:val="Normal"/>
    <w:link w:val="TextodegloboCar"/>
    <w:uiPriority w:val="99"/>
    <w:semiHidden/>
    <w:unhideWhenUsed/>
    <w:qFormat/>
    <w:rsid w:val="00c503ac"/>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7EBB-4F2D-C548-85B3-1096802A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Application>LibreOffice/7.5.7.1$Windows_X86_64 LibreOffice_project/47eb0cf7efbacdee9b19ae25d6752381ede23126</Application>
  <AppVersion>15.0000</AppVersion>
  <Pages>13</Pages>
  <Words>2580</Words>
  <Characters>13938</Characters>
  <CharactersWithSpaces>16297</CharactersWithSpaces>
  <Paragraphs>225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2019-07-16T11:57:00Z</dcterms:created>
  <dc:creator>Microsoft Office User</dc:creator>
  <dc:description/>
  <dc:language>es-ES</dc:language>
  <cp:lastModifiedBy/>
  <cp:lastPrinted>2019-06-18T15:52:00Z</cp:lastPrinted>
  <dcterms:modified xsi:type="dcterms:W3CDTF">2025-05-06T12:11:39Z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