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16</w:t>
      </w:r>
    </w:p>
    <w:p>
      <w:pPr>
        <w:pStyle w:val="Head1"/>
        <w:numPr>
          <w:ilvl w:val="0"/>
          <w:numId w:val="0"/>
        </w:numPr>
        <w:ind w:left="0" w:hanging="0"/>
        <w:outlineLvl w:val="0"/>
        <w:rPr>
          <w:lang w:val="es-ES"/>
        </w:rPr>
      </w:pPr>
      <w:r>
        <w:rPr>
          <w:rFonts w:ascii="Trebuchet MS" w:hAnsi="Trebuchet MS"/>
          <w:b/>
          <w:color w:val="002B49"/>
          <w:sz w:val="54"/>
          <w:szCs w:val="54"/>
          <w:lang w:val="es-ES"/>
        </w:rPr>
        <w:t>Elaboración embutidos</w:t>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Nombre Jurídico empresa elaboradora: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pct10"/>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Nombre comercial empresa elaboradora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Dirección de la explotación:</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Nº Alta Código REGA (Reg. Explotaciones Ganaderas) explotaciones procedencia materia prima: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bold"/>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bl>
    <w:p>
      <w:pPr>
        <w:pStyle w:val="Normal"/>
        <w:spacing w:lineRule="auto" w:line="276"/>
        <w:rPr>
          <w:color w:val="002B49"/>
          <w:lang w:val="es-ES"/>
        </w:rPr>
      </w:pPr>
      <w:r>
        <w:rPr>
          <w:color w:val="002B49"/>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spacing w:before="0" w:after="0"/>
        <w:rPr>
          <w:sz w:val="20"/>
          <w:lang w:val="es-ES"/>
        </w:rPr>
      </w:pPr>
      <w:r>
        <w:rPr>
          <w:sz w:val="20"/>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sz w:val="20"/>
                <w:szCs w:val="24"/>
                <w:lang w:val="es-ES"/>
              </w:rPr>
            </w:pPr>
            <w:r>
              <w:rPr>
                <w:rFonts w:ascii="Trebuchet MS" w:hAnsi="Trebuchet MS"/>
                <w:color w:val="595959" w:themeColor="text1" w:themeTint="a6"/>
                <w:sz w:val="19"/>
                <w:szCs w:val="19"/>
                <w:lang w:val="es-ES"/>
              </w:rPr>
              <w:t>Algunos de los requisitos, sobre todo en caso de acreditar el cumplimiento obligatorio de normativa sectorial serán comprobados de oficio por la propia Agencia Menorca Reserva de Biosfera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03Tableregular"/>
        <w:rPr>
          <w:lang w:val="es-ES"/>
        </w:rPr>
      </w:pPr>
      <w:r>
        <w:rPr>
          <w:sz w:val="20"/>
          <w:lang w:val="es-ES"/>
        </w:rPr>
        <w:t xml:space="preserve">Para poder solicitar el uso de la marca y el logotipo </w:t>
      </w:r>
      <w:r>
        <w:rPr>
          <w:b/>
          <w:color w:val="00AFAA"/>
          <w:lang w:val="es-ES"/>
        </w:rPr>
        <w:t>“Menorca Reserva de Biosfera”</w:t>
      </w:r>
      <w:r>
        <w:rPr>
          <w:sz w:val="20"/>
          <w:lang w:val="es-ES"/>
        </w:rPr>
        <w:t>, la empresa debe cumplir los</w:t>
      </w:r>
      <w:r>
        <w:rPr>
          <w:b/>
          <w:bCs/>
          <w:sz w:val="20"/>
          <w:lang w:val="es-ES"/>
        </w:rPr>
        <w:t xml:space="preserve"> requisitos obligatorios</w:t>
      </w:r>
      <w:r>
        <w:rPr>
          <w:sz w:val="20"/>
          <w:lang w:val="es-ES"/>
        </w:rPr>
        <w:t xml:space="preserve"> siguientes:</w:t>
      </w:r>
    </w:p>
    <w:p>
      <w:pPr>
        <w:pStyle w:val="Normal"/>
        <w:rPr>
          <w:lang w:val="es-ES"/>
        </w:rPr>
      </w:pPr>
      <w:r>
        <w:rPr>
          <w:rFonts w:ascii="Trebuchet MS" w:hAnsi="Trebuchet MS"/>
          <w:b/>
          <w:color w:val="002B49"/>
          <w:sz w:val="40"/>
          <w:szCs w:val="40"/>
          <w:lang w:val="es-ES"/>
        </w:rPr>
        <w:t>Cumplimiento de los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empresa</w:t>
        <w:tab/>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Pueden acogerse a la utilización de la marca los productos cárnicos producidos por empresas, ya sean explotaciones ganaderas o industrias, ubicadas dentro de la RBM, donde la materia prima de los embutidos sean animales obtenidos en su totalidad de explotaciones domiciliadas dentro de la zona de la reserva de biosfera y en las que el sacrificio y despiece tenga lugar en obradores ubicados en la RBM.</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elaboradora debe justificar que el 100% de los animales objeto de materia prima de los embutidos proviene de explotaciones ubicadas en la RBM.</w:t>
            </w:r>
          </w:p>
        </w:tc>
      </w:tr>
      <w:tr>
        <w:trPr>
          <w:trHeight w:val="503" w:hRule="atLeast"/>
          <w:cantSplit w:val="true"/>
        </w:trPr>
        <w:tc>
          <w:tcPr>
            <w:tcW w:w="2999"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de dónde provienen los animales, cómo y dónde se realiza el sacrificio y despiece del ganado.</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bCs/>
                <w:color w:val="002B49"/>
                <w:kern w:val="0"/>
                <w:szCs w:val="18"/>
                <w:highlight w:val="white"/>
                <w:lang w:val="es-ES" w:eastAsia="en-US" w:bidi="ar-SA"/>
              </w:rPr>
            </w:pPr>
            <w:r>
              <w:rPr>
                <w:rFonts w:eastAsia="" w:cs="" w:ascii="Trebuchet MS" w:hAnsi="Trebuchet MS"/>
                <w:bCs/>
                <w:color w:val="002B49"/>
                <w:kern w:val="0"/>
                <w:szCs w:val="18"/>
                <w:highlight w:val="white"/>
                <w:lang w:val="es-ES" w:eastAsia="en-US" w:bidi="ar-SA"/>
              </w:rPr>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
                <w:color w:val="808080" w:themeColor="background1" w:themeShade="80"/>
                <w:kern w:val="0"/>
                <w:szCs w:val="18"/>
                <w:lang w:val="es-ES" w:eastAsia="en-US" w:bidi="ar-SA"/>
              </w:rPr>
              <w:t>Texto explicativo…</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código REGA de todas las explotaciones de donde proviene la materia prima para elaborar los embutidos.</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REGA nº:</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Explotaciones ganaderas extensivas o intensivas que acrediten que la alimentación tiene al menos un 50% de procedencia de Menorca (pasto o preparados alimenticios con productos producidos en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utilizar al menos un 50% de materia prima procedente de la isla de Menorca para alimentar a las reses.</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las materias primas utilizadas para la alimentación de reses, así como su origen, mediante la presentación de facturas.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i w:val="false"/>
                <w:color w:val="auto"/>
                <w:kern w:val="0"/>
                <w:sz w:val="18"/>
                <w:szCs w:val="18"/>
                <w:lang w:val="es-ES" w:eastAsia="en-US" w:bidi="ar-SA"/>
              </w:rPr>
              <w:t>Indicar la superficie de pasto y el número de cabezas de ganado para poder calcular la carga ganadera- Se puede adjuntar informe agronómico que justifique que la superficie de pasto a disposición, junto con los aportes alimentarios de origen de Menorca aportan al menos el 50% de la alimentación del ganado (se tendrán en cuenta como condicionantes las contingencias climáticas)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Declara el cumplimiento de la normativa sectorial y en concreto dispone de Plan de deyecciones ganaderas actualizado, si es el caso..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elaboradora de embutidos debe cumplir la normativa sectorial y disponer de un Plan de deyecciones ganaderas actual.</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Declaración Responsable del cumplimiento de normativa sectorial, en todo caso los técnicos evaluadores de la propuesta podrán requerir la justificación concreta del cumplimiento de alguna normativa sectorial concreta y podrán realizar las comprobaciones con las administraciones competentes.</w:t>
            </w:r>
          </w:p>
        </w:tc>
      </w:tr>
      <w:tr>
        <w:trPr>
          <w:trHeight w:val="503" w:hRule="atLeast"/>
          <w:cantSplit w:val="true"/>
        </w:trPr>
        <w:tc>
          <w:tcPr>
            <w:tcW w:w="2998" w:type="dxa"/>
            <w:vMerge w:val="continue"/>
            <w:tcBorders>
              <w:left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vMerge w:val="continue"/>
            <w:tcBorders>
              <w:left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el Plan de deyecciones actual de las explotaciones ganaderas que aportan la materia prima o en su caso indicar si se tiene copia del mismo en el área de agricultura del Consell Insular de Menorca.</w:t>
            </w:r>
          </w:p>
        </w:tc>
      </w:tr>
      <w:tr>
        <w:trPr>
          <w:trHeight w:val="503" w:hRule="atLeast"/>
          <w:cantSplit w:val="true"/>
        </w:trPr>
        <w:tc>
          <w:tcPr>
            <w:tcW w:w="2998" w:type="dxa"/>
            <w:vMerge w:val="continue"/>
            <w:tcBorders>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Head1"/>
        <w:keepNext w:val="true"/>
        <w:keepLines/>
        <w:rPr>
          <w:lang w:val="es-ES"/>
        </w:rPr>
      </w:pPr>
      <w:r>
        <w:rPr>
          <w:rFonts w:ascii="Trebuchet MS" w:hAnsi="Trebuchet MS"/>
          <w:b/>
          <w:color w:val="00AFAA"/>
          <w:sz w:val="22"/>
          <w:szCs w:val="22"/>
          <w:lang w:val="es-ES"/>
        </w:rPr>
        <w:t>D / Mejoras en comportamiento ambiental / Gestión ambiental</w:t>
      </w:r>
    </w:p>
    <w:p>
      <w:pPr>
        <w:pStyle w:val="Head1"/>
        <w:rPr>
          <w:rFonts w:ascii="Trebuchet MS" w:hAnsi="Trebuchet MS"/>
          <w:b/>
          <w:color w:val="00AFAA"/>
          <w:sz w:val="22"/>
          <w:szCs w:val="22"/>
        </w:rPr>
      </w:pPr>
      <w:r>
        <w:rPr>
          <w:rFonts w:ascii="Trebuchet MS" w:hAnsi="Trebuchet MS"/>
          <w:b/>
          <w:color w:val="00AFAA"/>
          <w:sz w:val="22"/>
          <w:szCs w:val="22"/>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Cumple la normativa en materia de sanidad y bienestar animal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Para la elaboración de embutidos debe cumplirse la normativa específica en materia de sanidad y en materia de bienestar animal.</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shd w:fill="FFFFFF" w:val="clear"/>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certificado del veterinario de la explotación que indique que cumple la normativa de sanidad y bienestar animal actual, o cualquier otra documentación acreditativa de inspecciones y/o controles que hayan hecho las administraciones competentes en materia (Govern Balear, Consell Insular..)</w:t>
            </w:r>
          </w:p>
        </w:tc>
      </w:tr>
      <w:tr>
        <w:trPr>
          <w:trHeight w:val="52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lang w:val="es-ES"/>
        </w:rPr>
      </w:pPr>
      <w:r>
        <w:rPr>
          <w:lang w:val="es-ES"/>
        </w:rPr>
        <w:t>Marcar con una “X” en caso afirmativo</w:t>
      </w:r>
      <w:r>
        <mc:AlternateContent>
          <mc:Choice Requires="wps">
            <w:drawing>
              <wp:anchor behindDoc="0" distT="0" distB="0" distL="0" distR="0" simplePos="0" locked="0" layoutInCell="0" allowOverlap="1" relativeHeight="86">
                <wp:simplePos x="0" y="0"/>
                <wp:positionH relativeFrom="page">
                  <wp:posOffset>508000</wp:posOffset>
                </wp:positionH>
                <wp:positionV relativeFrom="paragraph">
                  <wp:posOffset>305435</wp:posOffset>
                </wp:positionV>
                <wp:extent cx="6343015" cy="876300"/>
                <wp:effectExtent l="0" t="0" r="0" b="0"/>
                <wp:wrapNone/>
                <wp:docPr id="1" name="Marco1"/>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4"/>
                              <w:gridCol w:w="9635"/>
                            </w:tblGrid>
                            <w:tr>
                              <w:trPr>
                                <w:trHeight w:val="1095" w:hRule="atLeast"/>
                                <w:cantSplit w:val="true"/>
                              </w:trPr>
                              <w:tc>
                                <w:tcPr>
                                  <w:tcW w:w="354"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5"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0pt;margin-top:24.05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4"/>
                        <w:gridCol w:w="9635"/>
                      </w:tblGrid>
                      <w:tr>
                        <w:trPr>
                          <w:trHeight w:val="1095" w:hRule="atLeast"/>
                          <w:cantSplit w:val="true"/>
                        </w:trPr>
                        <w:tc>
                          <w:tcPr>
                            <w:tcW w:w="354"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5"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9990" w:type="dxa"/>
        <w:jc w:val="left"/>
        <w:tblInd w:w="109" w:type="dxa"/>
        <w:tblLayout w:type="fixed"/>
        <w:tblCellMar>
          <w:top w:w="0" w:type="dxa"/>
          <w:left w:w="107" w:type="dxa"/>
          <w:bottom w:w="0" w:type="dxa"/>
          <w:right w:w="108" w:type="dxa"/>
        </w:tblCellMar>
        <w:tblLook w:val="04a0"/>
      </w:tblPr>
      <w:tblGrid>
        <w:gridCol w:w="354"/>
        <w:gridCol w:w="9635"/>
      </w:tblGrid>
      <w:tr>
        <w:trPr>
          <w:trHeight w:val="1095" w:hRule="atLeast"/>
          <w:cantSplit w:val="true"/>
        </w:trPr>
        <w:tc>
          <w:tcPr>
            <w:tcW w:w="354"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7030A0"/>
                <w:kern w:val="0"/>
                <w:sz w:val="16"/>
                <w:szCs w:val="16"/>
                <w:lang w:val="es-ES" w:eastAsia="en-US" w:bidi="ar-SA"/>
              </w:rPr>
            </w:pPr>
            <w:r>
              <w:rPr>
                <w:rFonts w:eastAsia="" w:cs="" w:ascii="Trebuchet MS" w:hAnsi="Trebuchet MS"/>
                <w:color w:val="7030A0"/>
                <w:kern w:val="0"/>
                <w:sz w:val="16"/>
                <w:szCs w:val="16"/>
                <w:lang w:val="es-ES" w:eastAsia="en-US" w:bidi="ar-SA"/>
              </w:rPr>
            </w:r>
          </w:p>
        </w:tc>
        <w:tc>
          <w:tcPr>
            <w:tcW w:w="9635"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con la administración competente en sanidad del Govern Balear, y solicito que este requisito sea contrastado con esta sección.</w:t>
            </w:r>
          </w:p>
        </w:tc>
      </w:tr>
    </w:tbl>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Realiza seguimiento sobre el consumo de energía y agua (electricidad, gas, gasoil....)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cómo se realiza el seguimiento del consumo de energía y agua de la empresa de todo el último año.</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modelo de documento con el que se realizará el seguimiento del consumo de energía y agua de la empresa.</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Adopta medidas para el ahorro de luz: interruptores temporizados,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113" w:after="79"/>
              <w:jc w:val="left"/>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113" w:after="79"/>
              <w:jc w:val="left"/>
              <w:rPr/>
            </w:pPr>
            <w:r>
              <w:rPr>
                <w:rFonts w:eastAsia="" w:cs="" w:ascii="Trebuchet MS" w:hAnsi="Trebuchet MS"/>
                <w:color w:val="153646"/>
                <w:kern w:val="0"/>
                <w:sz w:val="18"/>
                <w:lang w:val="es-ES" w:eastAsia="en-US" w:bidi="ar-SA"/>
              </w:rPr>
              <w:t>La empresa debe disponer de dispositivos de ahorro de luz y aplicar medidas de ahorro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la lista de medidas tomadas por la empresa.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Adopta medidas de ahorro de agua.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la lista de medidas tomadas por la empresa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Mesura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Mesura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cómo se prioriza en la utilización de materiales reciclados, reutilizables y/o reciclables.</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Emplea sistemas de depuración adecuados o estar conectados a la red municipal de saneamiento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gestiona adecuadamente su saneamiento, de forma individualizada o conectada a la red de saneamiento municipal.</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de qué sistema de depuración de aguas dispone la empresa y adjuntar material documental (fotografías, facturas, etc..) si hace falta.</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Reciclaje de residuos incluso la fracción orgánica de los mismos.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contenedores de recogida selectiva y encargarse del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cómo se gestiona la fracción orgánica de los residuos generados.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Normal"/>
        <w:spacing w:lineRule="auto" w:line="276"/>
        <w:rPr>
          <w:lang w:val="es-ES"/>
        </w:rPr>
      </w:pPr>
      <w:r>
        <w:rPr>
          <w:rFonts w:ascii="Trebuchet MS" w:hAnsi="Trebuchet MS"/>
          <w:color w:val="153646"/>
          <w:lang w:val="es-ES"/>
        </w:rPr>
        <w:t xml:space="preserve">Para poder solicitar inicialmente el uso de la marca y el logotipo </w:t>
      </w:r>
      <w:r>
        <w:rPr>
          <w:b/>
          <w:color w:val="00AFAA"/>
          <w:lang w:val="es-ES"/>
        </w:rPr>
        <w:t>“Menorca Reserva de Biosfera”</w:t>
      </w:r>
      <w:r>
        <w:rPr>
          <w:rFonts w:ascii="Trebuchet MS" w:hAnsi="Trebuchet MS"/>
          <w:color w:val="153646"/>
          <w:lang w:val="es-ES"/>
        </w:rPr>
        <w:t xml:space="preserve">, la empresa  debe cumplir </w:t>
      </w:r>
      <w:r>
        <w:rPr>
          <w:rFonts w:ascii="Trebuchet MS" w:hAnsi="Trebuchet MS"/>
          <w:b/>
          <w:color w:val="153646"/>
          <w:lang w:val="es-ES"/>
        </w:rPr>
        <w:t>2 de los requisitos recomendables</w:t>
      </w:r>
      <w:r>
        <w:rPr>
          <w:rFonts w:ascii="Trebuchet MS" w:hAnsi="Trebuchet MS"/>
          <w:color w:val="153646"/>
          <w:lang w:val="es-ES"/>
        </w:rPr>
        <w:t>, además de comprometerse como mínimo a legar a cumplir hasta 4 del total de requisitos recomendables durante los 3 próximos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E / Actividades de la empresa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productos ecológicos certificados por el CBPAE a la empresa,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Las explotaciones agrarias que aportan materia prima deben priorizar el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Documentos acreditativos de que una porción de los animales empleados como materia prima corresponden a alguna raza autóctona..</w:t>
            </w:r>
          </w:p>
        </w:tc>
      </w:tr>
      <w:tr>
        <w:trPr>
          <w:trHeight w:val="152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Aprovechamiento de pastos forestales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ganadera que aporta la materia prima aprovecha los pastos forestales (pasto en marina, acebuches, encinar...)</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explotación para aprovechar los pastos forestales.</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E15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ganadera que aporta la materia prima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acuerdo de custodia o contrato territorial.</w:t>
            </w:r>
          </w:p>
        </w:tc>
      </w:tr>
      <w:tr>
        <w:trPr>
          <w:trHeight w:val="71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E16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inscrita en el catálogo de AGROXERXA y última fecha de actualización.</w:t>
            </w:r>
          </w:p>
        </w:tc>
      </w:tr>
      <w:tr>
        <w:trPr>
          <w:trHeight w:val="710"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cs="MinionPro-Regular" w:ascii="Trebuchet MS" w:hAnsi="Trebuchet MS"/>
          <w:b/>
          <w:bCs/>
          <w:color w:val="00AFAA"/>
          <w:sz w:val="22"/>
          <w:szCs w:val="22"/>
          <w:lang w:val="es-ES"/>
        </w:rPr>
        <w:t>F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F17 / Utiliza equipos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disponer de equipos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equipos o sistemas de aprovechamiento de energíass renovables de que dispone.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F18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debe tomar medidas para la reducción de la contaminación.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para reducir la contaminación lumínica de la empresa.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F19 / Utiliza productos de limpieza biodegradables/ecológicos</w:t>
            </w:r>
            <w:bookmarkStart w:id="0" w:name="_GoBack"/>
            <w:bookmarkEnd w:id="0"/>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rFonts w:cs="" w:cstheme="minorBidi"/>
          <w:b w:val="false"/>
          <w:bCs w:val="false"/>
          <w:color w:val="153646"/>
          <w:sz w:val="20"/>
          <w:szCs w:val="20"/>
          <w:lang w:val="es-ES"/>
        </w:rPr>
        <w:t xml:space="preserve">Una vez concedido el uso de la marca y el logotipo </w:t>
      </w:r>
      <w:r>
        <w:rPr>
          <w:lang w:val="es-ES"/>
        </w:rPr>
        <w:t>“Menorca Reserva de Biosfera”</w:t>
      </w:r>
      <w:r>
        <w:rPr>
          <w:rFonts w:cs="" w:cstheme="minorBidi"/>
          <w:b w:val="false"/>
          <w:bCs w:val="false"/>
          <w:color w:val="153646"/>
          <w:sz w:val="20"/>
          <w:szCs w:val="20"/>
          <w:lang w:val="es-ES"/>
        </w:rPr>
        <w:t>, la empresa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N2 / En su promoción utiliza recursos de la marca Menorca Reserva de la Biosfera (plazo de 12 meses para instalarla desde la concesión)</w:t>
            </w:r>
          </w:p>
        </w:tc>
      </w:tr>
      <w:tr>
        <w:trPr>
          <w:trHeight w:val="680"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ascii="Trebuchet MS" w:hAnsi="Trebuchet MS" w:eastAsia="" w:cs=""/>
                <w:b/>
                <w:color w:val="FFFFFF" w:themeColor="background1"/>
                <w:kern w:val="0"/>
                <w:sz w:val="19"/>
                <w:szCs w:val="18"/>
                <w:lang w:val="es-ES" w:eastAsia="en-US" w:bidi="ar-SA"/>
              </w:rPr>
            </w:pPr>
            <w:r>
              <w:rPr>
                <w:rFonts w:eastAsia="" w:cs="" w:ascii="Trebuchet MS" w:hAnsi="Trebuchet MS"/>
                <w:b/>
                <w:color w:val="FFFFFF" w:themeColor="background1"/>
                <w:kern w:val="0"/>
                <w:sz w:val="19"/>
                <w:szCs w:val="18"/>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N5/ Asistir a las Jornadas formativas que de forma específica para los usuarios de la Marca organice la Agencia Menorca Reserva de Biosfera.</w:t>
            </w:r>
          </w:p>
        </w:tc>
      </w:tr>
    </w:tbl>
    <w:p>
      <w:pPr>
        <w:pStyle w:val="03Tableregular"/>
        <w:rPr>
          <w:lang w:val="es-ES"/>
        </w:rPr>
      </w:pPr>
      <w:r>
        <mc:AlternateContent>
          <mc:Choice Requires="wps">
            <w:drawing>
              <wp:anchor behindDoc="0" distT="3175" distB="3175" distL="0" distR="0" simplePos="0" locked="0" layoutInCell="1" allowOverlap="1" relativeHeight="88">
                <wp:simplePos x="0" y="0"/>
                <wp:positionH relativeFrom="column">
                  <wp:posOffset>0</wp:posOffset>
                </wp:positionH>
                <wp:positionV relativeFrom="paragraph">
                  <wp:posOffset>1270</wp:posOffset>
                </wp:positionV>
                <wp:extent cx="6515100" cy="635"/>
                <wp:effectExtent l="0" t="3175" r="0" b="3175"/>
                <wp:wrapNone/>
                <wp:docPr id="2"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r>
        <w:rPr>
          <w:sz w:val="20"/>
          <w:lang w:val="es-ES"/>
        </w:rPr>
        <w:t>Asimismo, se compromete a cumplir el 50% de los siguientes compromisos recomendables mientras dure su permanencia (marcar con una X un mínimo de los 2 compromisos siguientes)</w:t>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N5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N6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N7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N8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4">
              <wp:simplePos x="0" y="0"/>
              <wp:positionH relativeFrom="column">
                <wp:posOffset>5456555</wp:posOffset>
              </wp:positionH>
              <wp:positionV relativeFrom="paragraph">
                <wp:posOffset>-177800</wp:posOffset>
              </wp:positionV>
              <wp:extent cx="297815" cy="360680"/>
              <wp:effectExtent l="0" t="0" r="0" b="0"/>
              <wp:wrapNone/>
              <wp:docPr id="3" name="Marco2"/>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2"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48">
              <wp:simplePos x="0" y="0"/>
              <wp:positionH relativeFrom="column">
                <wp:posOffset>5798185</wp:posOffset>
              </wp:positionH>
              <wp:positionV relativeFrom="paragraph">
                <wp:posOffset>-222250</wp:posOffset>
              </wp:positionV>
              <wp:extent cx="742315" cy="755015"/>
              <wp:effectExtent l="0" t="0" r="0" b="0"/>
              <wp:wrapNone/>
              <wp:docPr id="4" name="Marco4"/>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4"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7"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4300" distR="114300" simplePos="0" locked="0" layoutInCell="0" allowOverlap="1" relativeHeight="84">
              <wp:simplePos x="0" y="0"/>
              <wp:positionH relativeFrom="column">
                <wp:posOffset>-29210</wp:posOffset>
              </wp:positionH>
              <wp:positionV relativeFrom="paragraph">
                <wp:posOffset>-102235</wp:posOffset>
              </wp:positionV>
              <wp:extent cx="5005070" cy="596265"/>
              <wp:effectExtent l="0" t="0" r="0" b="0"/>
              <wp:wrapSquare wrapText="bothSides"/>
              <wp:docPr id="5" name="Marco3"/>
              <a:graphic xmlns:a="http://schemas.openxmlformats.org/drawingml/2006/main">
                <a:graphicData uri="http://schemas.microsoft.com/office/word/2010/wordprocessingShape">
                  <wps:wsp>
                    <wps:cNvSpPr/>
                    <wps:spPr>
                      <a:xfrm>
                        <a:off x="0" y="0"/>
                        <a:ext cx="5005080" cy="59616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3" path="m0,0l-2147483645,0l-2147483645,-2147483646l0,-2147483646xe" stroked="f" o:allowincell="f" style="position:absolute;margin-left:-2.3pt;margin-top:-8.05pt;width:394.05pt;height:46.9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1">
              <wp:simplePos x="0" y="0"/>
              <wp:positionH relativeFrom="column">
                <wp:posOffset>0</wp:posOffset>
              </wp:positionH>
              <wp:positionV relativeFrom="paragraph">
                <wp:posOffset>143510</wp:posOffset>
              </wp:positionV>
              <wp:extent cx="6515100" cy="635"/>
              <wp:effectExtent l="0" t="3175" r="0" b="3175"/>
              <wp:wrapNone/>
              <wp:docPr id="6"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cf7e05"/>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8973bd"/>
    <w:pPr>
      <w:spacing w:lineRule="auto" w:line="276" w:before="0" w:after="140"/>
    </w:pPr>
    <w:rPr/>
  </w:style>
  <w:style w:type="paragraph" w:styleId="Lista">
    <w:name w:val="List"/>
    <w:basedOn w:val="Cuerpodetexto"/>
    <w:rsid w:val="008973bd"/>
    <w:pPr/>
    <w:rPr>
      <w:rFonts w:cs="Lucida Sans"/>
    </w:rPr>
  </w:style>
  <w:style w:type="paragraph" w:styleId="Leyenda" w:customStyle="1">
    <w:name w:val="Caption"/>
    <w:basedOn w:val="Normal"/>
    <w:qFormat/>
    <w:rsid w:val="008973bd"/>
    <w:pPr>
      <w:suppressLineNumbers/>
      <w:spacing w:before="120" w:after="120"/>
    </w:pPr>
    <w:rPr>
      <w:rFonts w:cs="Lucida Sans"/>
      <w:i/>
      <w:iCs/>
      <w:sz w:val="24"/>
      <w:szCs w:val="24"/>
    </w:rPr>
  </w:style>
  <w:style w:type="paragraph" w:styleId="Ndice" w:customStyle="1">
    <w:name w:val="Índice"/>
    <w:basedOn w:val="Normal"/>
    <w:qFormat/>
    <w:rsid w:val="008973bd"/>
    <w:pPr>
      <w:suppressLineNumbers/>
    </w:pPr>
    <w:rPr>
      <w:rFonts w:cs="Lucida Sans"/>
    </w:rPr>
  </w:style>
  <w:style w:type="paragraph" w:styleId="Ttulogeneral">
    <w:name w:val="Title"/>
    <w:basedOn w:val="Normal"/>
    <w:next w:val="Cuerpodetexto"/>
    <w:qFormat/>
    <w:rsid w:val="008973bd"/>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bd4316"/>
    <w:pPr>
      <w:spacing w:before="120" w:after="120"/>
    </w:pPr>
    <w:rPr>
      <w:i/>
      <w:sz w:val="17"/>
      <w:szCs w:val="17"/>
    </w:rPr>
  </w:style>
  <w:style w:type="paragraph" w:styleId="Contenidodelmarco" w:customStyle="1">
    <w:name w:val="Contenido del marco"/>
    <w:basedOn w:val="Normal"/>
    <w:qFormat/>
    <w:rsid w:val="008973bd"/>
    <w:pPr/>
    <w:rPr/>
  </w:style>
  <w:style w:type="paragraph" w:styleId="BalloonText">
    <w:name w:val="Balloon Text"/>
    <w:basedOn w:val="Normal"/>
    <w:link w:val="TextodegloboCar"/>
    <w:uiPriority w:val="99"/>
    <w:semiHidden/>
    <w:unhideWhenUsed/>
    <w:qFormat/>
    <w:rsid w:val="00cf7e05"/>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232D-2B73-BC4D-9A27-21933707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Application>LibreOffice/7.5.7.1$Windows_X86_64 LibreOffice_project/47eb0cf7efbacdee9b19ae25d6752381ede23126</Application>
  <AppVersion>15.0000</AppVersion>
  <Pages>12</Pages>
  <Words>2301</Words>
  <Characters>12673</Characters>
  <CharactersWithSpaces>14771</CharactersWithSpaces>
  <Paragraphs>202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2020-08-25T12:58:00Z</dcterms:created>
  <dc:creator>Microsoft Office User</dc:creator>
  <dc:description/>
  <dc:language>es-ES</dc:language>
  <cp:lastModifiedBy/>
  <cp:lastPrinted>2019-06-18T15:52:00Z</cp:lastPrinted>
  <dcterms:modified xsi:type="dcterms:W3CDTF">2025-05-06T12:33:22Z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