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lang w:val="es-ES"/>
        </w:rPr>
      </w:pPr>
      <w:r>
        <w:rPr>
          <w:lang w:val="es-ES"/>
        </w:rPr>
      </w:r>
    </w:p>
    <w:p>
      <w:pPr>
        <w:pStyle w:val="Standard"/>
        <w:rPr>
          <w:rFonts w:ascii="Trebuchet MS" w:hAnsi="Trebuchet MS"/>
          <w:color w:val="000000"/>
          <w:lang w:val="es-ES"/>
        </w:rPr>
      </w:pPr>
      <w:r>
        <w:rPr>
          <w:rFonts w:ascii="Trebuchet MS" w:hAnsi="Trebuchet MS"/>
          <w:color w:val="000000"/>
          <w:lang w:val="es-ES"/>
        </w:rPr>
      </w:r>
    </w:p>
    <w:p>
      <w:pPr>
        <w:pStyle w:val="Normal"/>
        <w:numPr>
          <w:ilvl w:val="0"/>
          <w:numId w:val="0"/>
        </w:numPr>
        <w:ind w:left="0" w:hanging="0"/>
        <w:outlineLvl w:val="0"/>
        <w:rPr/>
      </w:pPr>
      <w:r>
        <w:rPr>
          <w:rStyle w:val="Strong"/>
          <w:rFonts w:ascii="Trebuchet MS" w:hAnsi="Trebuchet MS"/>
          <w:color w:val="00AFAA"/>
          <w:sz w:val="20"/>
          <w:lang w:val="es-ES"/>
        </w:rPr>
        <w:t>CATEGORÍA 18</w:t>
      </w:r>
    </w:p>
    <w:p>
      <w:pPr>
        <w:pStyle w:val="Head1"/>
        <w:numPr>
          <w:ilvl w:val="0"/>
          <w:numId w:val="0"/>
        </w:numPr>
        <w:ind w:left="0" w:hanging="0"/>
        <w:outlineLvl w:val="0"/>
        <w:rPr>
          <w:lang w:val="es-ES"/>
        </w:rPr>
      </w:pPr>
      <w:r>
        <w:rPr>
          <w:rFonts w:ascii="Trebuchet MS" w:hAnsi="Trebuchet MS"/>
          <w:b/>
          <w:color w:val="002B49"/>
          <w:sz w:val="54"/>
          <w:szCs w:val="54"/>
          <w:lang w:val="es-ES"/>
        </w:rPr>
        <w:t>Trigo y derivados de trigo</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que elabora: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bl>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empresa elaboradora de trigo y derivados debe cumplir los </w:t>
      </w:r>
      <w:r>
        <w:rPr>
          <w:b/>
          <w:lang w:val="es-ES"/>
        </w:rPr>
        <w:t>10 requisitos obligatorios</w:t>
      </w:r>
      <w:r>
        <w:rPr>
          <w:lang w:val="es-ES"/>
        </w:rPr>
        <w:t xml:space="preserve"> siguientes:</w:t>
      </w:r>
    </w:p>
    <w:p>
      <w:pPr>
        <w:pStyle w:val="05Megatitles"/>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 xml:space="preserve">C2 / </w:t>
            </w:r>
            <w:r>
              <w:rPr>
                <w:rFonts w:eastAsia="" w:cs=""/>
                <w:kern w:val="0"/>
                <w:sz w:val="18"/>
                <w:lang w:val="es-ES" w:eastAsia="en-US" w:bidi="ar-SA"/>
              </w:rPr>
              <w:t>Pueden acogerse a la utilización de la marca los productos de trigo y los productos derivados del trigo cuando éste se haya obtenido en explotaciones domiciliadas dentro de la zona de la reserva de biosfera de Menorca. Se exceptuará de la obligación de producción de harina panificable en empresas ubicadas en la Reserva de Biosfera, en aquellos casos en que se acredite documentalmente la imposibilidad de poder realizar el proceso en empresas de la isla y siempre que se pueda garantizar la trazabilidad en todo momento del producto. La excepción decaerá en el momento en que existan empresas en la isla con capacidad de ofrecer el servicio de moler harina.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producir y elaborar los derivados de trigo en explotaciones ubicadas en la Reserva de Biosfera excepto la producción de harina siempre y cuando no haya empresas locales que puedan dar el servicio.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dónde se elabora el producto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Lugar de producción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Código catastral ubicación</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Lugar de elaboración</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545"/>
        <w:gridCol w:w="6538"/>
      </w:tblGrid>
      <w:tr>
        <w:trPr>
          <w:trHeight w:val="571" w:hRule="atLeast"/>
          <w:cantSplit w:val="true"/>
        </w:trPr>
        <w:tc>
          <w:tcPr>
            <w:tcW w:w="10080"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En caso de derivados de trigo, el resto de ingredientes necesarios se deberá obtener en al menos un 30% de productos producidos o elaborados en la Reserva de Biosfera</w:t>
            </w:r>
          </w:p>
        </w:tc>
      </w:tr>
      <w:tr>
        <w:trPr>
          <w:trHeight w:val="503"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3"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origen de los productos distintos al trigo o derivados debe ser en al menos un 30% elaborados o producidos en la Reserva de Biosfera.</w:t>
            </w:r>
          </w:p>
        </w:tc>
      </w:tr>
      <w:tr>
        <w:trPr>
          <w:trHeight w:val="1034"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3"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listado del resto de ingredientes utilizados indicando el origen concreto de los mismos.</w:t>
            </w:r>
          </w:p>
        </w:tc>
      </w:tr>
      <w:tr>
        <w:trPr>
          <w:trHeight w:val="548"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Ingrediente 1 ______</w:t>
            </w:r>
          </w:p>
        </w:tc>
      </w:tr>
      <w:tr>
        <w:trPr>
          <w:trHeight w:val="548"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Ingrediente 2 _______</w:t>
            </w:r>
          </w:p>
        </w:tc>
      </w:tr>
      <w:tr>
        <w:trPr>
          <w:trHeight w:val="548"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Ingrediente 3 _______</w:t>
            </w:r>
          </w:p>
        </w:tc>
      </w:tr>
      <w:tr>
        <w:trPr>
          <w:trHeight w:val="548"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503" w:hRule="atLeast"/>
          <w:cantSplit w:val="true"/>
        </w:trPr>
        <w:tc>
          <w:tcPr>
            <w:tcW w:w="2997"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3"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sz w:val="19"/>
          <w:szCs w:val="19"/>
          <w:lang w:val="es-ES"/>
        </w:rPr>
      </w:pPr>
      <w:r>
        <w:rPr>
          <w:sz w:val="19"/>
          <w:szCs w:val="19"/>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Cuando los beneficiarios sean explotaciones agrícolas, se debe declarar el cumplimiento de la normativa sectorial.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Cumplimiento de la normativa sectorial necesaria para llevar a cabo la actividad.</w:t>
            </w:r>
          </w:p>
        </w:tc>
      </w:tr>
      <w:tr>
        <w:trPr>
          <w:trHeight w:val="121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inscripción código RIA</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rPr>
          <w:szCs w:val="40"/>
          <w:lang w:val="es-ES"/>
        </w:rPr>
      </w:pPr>
      <w:r>
        <w:rPr>
          <w:szCs w:val="40"/>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Las explotaciones agrarias origen de la materia deben disponer de un plan de fertilización razonada</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Disponer de un plan de fertilización razonada.</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los criterios de fertilización que se apliquen, analíticas de suelos..</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Hacer un seguimiento del consumo de energía y agua</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Hacer un seguimiento del consumo de energía y agua.</w:t>
            </w:r>
          </w:p>
        </w:tc>
      </w:tr>
      <w:tr>
        <w:trPr>
          <w:trHeight w:val="95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explicar como se realiza el seguimiento del consumo de energía (facturas luz, etc..) y del consumo de agua (contadores de agua..).</w:t>
            </w:r>
          </w:p>
        </w:tc>
      </w:tr>
      <w:tr>
        <w:trPr>
          <w:trHeight w:val="953"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highlight w:val="white"/>
                <w:lang w:val="es-ES" w:eastAsia="en-US" w:bidi="ar-SA"/>
              </w:rPr>
            </w:pPr>
            <w:r>
              <w:rPr>
                <w:rFonts w:eastAsia="" w:cs=""/>
                <w:bCs/>
                <w:color w:val="002B49"/>
                <w:kern w:val="0"/>
                <w:szCs w:val="18"/>
                <w:highlight w:val="white"/>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En el caso de los obradores, adopta medidas de ahorro de luz, cambio de bombillas, temporalizadas,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la lista de medidas tomadas por la empresa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Adopta medidas de ahorro de agua.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la lista de medidas tomadas por la empresa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rFonts w:cs="" w:cstheme="minorBidi"/>
          <w:bCs w:val="false"/>
          <w:color w:val="auto"/>
          <w:sz w:val="20"/>
          <w:szCs w:val="20"/>
          <w:lang w:val="es-ES"/>
        </w:rPr>
      </w:pPr>
      <w:r>
        <w:rPr>
          <w:rFonts w:cs="" w:cstheme="minorBidi"/>
          <w:bCs w:val="false"/>
          <w:color w:val="auto"/>
          <w:sz w:val="20"/>
          <w:szCs w:val="2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explicar cómo se prioriza en la utilización de materiales reciclados, reutilizables y/o reciclables en la empresa.</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Utiliza sistema de depuración adecuado o está conectada a la red de saneamiento municipal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gestiona adecuadamente su saneamiento, de manera individualizada o conectada a la red de saneamiento municipal.</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se utiliza e ilustrarlo con fotografía justificativa. En caso de estar conectada al saneamiento municipal, indicar a cual.</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Adopta medidas de reciclaje de residuos, incluida la fracción orgánica de estos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contenedores de recogida selectiva y encargarse del adecuado tratamiento posterior.</w:t>
            </w:r>
          </w:p>
        </w:tc>
      </w:tr>
      <w:tr>
        <w:trPr>
          <w:trHeight w:val="1025"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10Regular"/>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D12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ofrece información de su actividad en catalán.</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la empresa elaboradora de trigo y derivados debe cumplir el 30% de los</w:t>
      </w:r>
      <w:r>
        <w:rPr>
          <w:b/>
          <w:lang w:val="es-ES"/>
        </w:rPr>
        <w:t xml:space="preserve"> requisitos recomendables que le sean aplicables</w:t>
      </w:r>
      <w:r>
        <w:rPr>
          <w:lang w:val="es-ES"/>
        </w:rPr>
        <w:t>, además de comprometerse como mínimo a llegar al 50%  durante los 3 próximos años.</w:t>
      </w:r>
    </w:p>
    <w:p>
      <w:pPr>
        <w:pStyle w:val="Tableinfo"/>
        <w:spacing w:lineRule="auto" w:line="276"/>
        <w:rPr>
          <w:szCs w:val="40"/>
          <w:lang w:val="es-ES"/>
        </w:rPr>
      </w:pPr>
      <w:r>
        <w:rPr>
          <w:szCs w:val="40"/>
          <w:lang w:val="es-ES"/>
        </w:rPr>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Producción ecológica certificada por el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certificación ecológica acreditada por el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Mantenimiento y recuperación de variedades autóctonas de trigo.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cultiva y mantiene variedades autóctonas de trigo.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Variedad utilizada y % de cultivo.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E15 / Ampliar hasta el 50% los ingredientes secundarios producidos o elaborados en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utiliza hasta un 50% de ingredientes secundarios producidos o elaborados en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de solicitud.</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w:t>
            </w:r>
            <w:r>
              <w:rPr>
                <w:rFonts w:eastAsia="" w:cs=""/>
                <w:kern w:val="0"/>
                <w:lang w:val="es-ES" w:eastAsia="en-US" w:bidi="ar-SA"/>
              </w:rPr>
              <w:t>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lista</w:t>
            </w:r>
            <w:r>
              <w:rPr>
                <w:rFonts w:eastAsia="" w:cs=""/>
                <w:kern w:val="0"/>
                <w:lang w:val="es-ES" w:eastAsia="en-US" w:bidi="ar-SA"/>
              </w:rPr>
              <w:t>do</w:t>
            </w:r>
            <w:r>
              <w:rPr>
                <w:rFonts w:eastAsia="" w:cs=""/>
                <w:kern w:val="0"/>
                <w:lang w:val="es-ES" w:eastAsia="en-US" w:bidi="ar-SA"/>
              </w:rPr>
              <w:t xml:space="preserve"> de to</w:t>
            </w:r>
            <w:r>
              <w:rPr>
                <w:rFonts w:eastAsia="" w:cs=""/>
                <w:kern w:val="0"/>
                <w:lang w:val="es-ES" w:eastAsia="en-US" w:bidi="ar-SA"/>
              </w:rPr>
              <w:t>do</w:t>
            </w:r>
            <w:r>
              <w:rPr>
                <w:rFonts w:eastAsia="" w:cs=""/>
                <w:kern w:val="0"/>
                <w:lang w:val="es-ES" w:eastAsia="en-US" w:bidi="ar-SA"/>
              </w:rPr>
              <w:t xml:space="preserve">s </w:t>
            </w:r>
            <w:r>
              <w:rPr>
                <w:rFonts w:eastAsia="" w:cs=""/>
                <w:kern w:val="0"/>
                <w:lang w:val="es-ES" w:eastAsia="en-US" w:bidi="ar-SA"/>
              </w:rPr>
              <w:t>los</w:t>
            </w:r>
            <w:r>
              <w:rPr>
                <w:rFonts w:eastAsia="" w:cs=""/>
                <w:kern w:val="0"/>
                <w:lang w:val="es-ES" w:eastAsia="en-US" w:bidi="ar-SA"/>
              </w:rPr>
              <w:t xml:space="preserve"> ingredient</w:t>
            </w:r>
            <w:r>
              <w:rPr>
                <w:rFonts w:eastAsia="" w:cs=""/>
                <w:kern w:val="0"/>
                <w:lang w:val="es-ES" w:eastAsia="en-US" w:bidi="ar-SA"/>
              </w:rPr>
              <w:t>e</w:t>
            </w:r>
            <w:r>
              <w:rPr>
                <w:rFonts w:eastAsia="" w:cs=""/>
                <w:kern w:val="0"/>
                <w:lang w:val="es-ES" w:eastAsia="en-US" w:bidi="ar-SA"/>
              </w:rPr>
              <w:t>s secundari</w:t>
            </w:r>
            <w:r>
              <w:rPr>
                <w:rFonts w:eastAsia="" w:cs=""/>
                <w:kern w:val="0"/>
                <w:lang w:val="es-ES" w:eastAsia="en-US" w:bidi="ar-SA"/>
              </w:rPr>
              <w:t>o</w:t>
            </w:r>
            <w:r>
              <w:rPr>
                <w:rFonts w:eastAsia="" w:cs=""/>
                <w:kern w:val="0"/>
                <w:lang w:val="es-ES" w:eastAsia="en-US" w:bidi="ar-SA"/>
              </w:rPr>
              <w:t>s junt</w:t>
            </w:r>
            <w:r>
              <w:rPr>
                <w:rFonts w:eastAsia="" w:cs=""/>
                <w:kern w:val="0"/>
                <w:lang w:val="es-ES" w:eastAsia="en-US" w:bidi="ar-SA"/>
              </w:rPr>
              <w:t>o</w:t>
            </w:r>
            <w:r>
              <w:rPr>
                <w:rFonts w:eastAsia="" w:cs=""/>
                <w:kern w:val="0"/>
                <w:lang w:val="es-ES" w:eastAsia="en-US" w:bidi="ar-SA"/>
              </w:rPr>
              <w:t xml:space="preserve"> </w:t>
            </w:r>
            <w:r>
              <w:rPr>
                <w:rFonts w:eastAsia="" w:cs=""/>
                <w:kern w:val="0"/>
                <w:lang w:val="es-ES" w:eastAsia="en-US" w:bidi="ar-SA"/>
              </w:rPr>
              <w:t>con su</w:t>
            </w:r>
            <w:r>
              <w:rPr>
                <w:rFonts w:eastAsia="" w:cs=""/>
                <w:kern w:val="0"/>
                <w:lang w:val="es-ES" w:eastAsia="en-US" w:bidi="ar-SA"/>
              </w:rPr>
              <w:t xml:space="preserve"> proced</w:t>
            </w:r>
            <w:r>
              <w:rPr>
                <w:rFonts w:eastAsia="" w:cs=""/>
                <w:kern w:val="0"/>
                <w:lang w:val="es-ES" w:eastAsia="en-US" w:bidi="ar-SA"/>
              </w:rPr>
              <w:t>e</w:t>
            </w:r>
            <w:r>
              <w:rPr>
                <w:rFonts w:eastAsia="" w:cs=""/>
                <w:kern w:val="0"/>
                <w:lang w:val="es-ES" w:eastAsia="en-US" w:bidi="ar-SA"/>
              </w:rPr>
              <w:t>ncia.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Ingredient</w:t>
            </w:r>
            <w:r>
              <w:rPr>
                <w:rFonts w:eastAsia="" w:cs=""/>
                <w:kern w:val="0"/>
                <w:lang w:val="es-ES" w:eastAsia="en-US" w:bidi="ar-SA"/>
              </w:rPr>
              <w:t>e</w:t>
            </w:r>
            <w:r>
              <w:rPr>
                <w:rFonts w:eastAsia="" w:cs=""/>
                <w:kern w:val="0"/>
                <w:lang w:val="es-ES" w:eastAsia="en-US" w:bidi="ar-SA"/>
              </w:rPr>
              <w:t xml:space="preserve">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Ingredient</w:t>
            </w:r>
            <w:r>
              <w:rPr>
                <w:rFonts w:eastAsia="" w:cs=""/>
                <w:kern w:val="0"/>
                <w:lang w:val="es-ES" w:eastAsia="en-US" w:bidi="ar-SA"/>
              </w:rPr>
              <w:t>e</w:t>
            </w:r>
            <w:r>
              <w:rPr>
                <w:rFonts w:eastAsia="" w:cs=""/>
                <w:kern w:val="0"/>
                <w:lang w:val="es-ES" w:eastAsia="en-US" w:bidi="ar-SA"/>
              </w:rPr>
              <w:t xml:space="preserve">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E16 / En el caso de empresas elaboradoras, tener un acuerdo de custodia del territorio.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tener un acuerdo de custodia del territorio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se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Copia del acuerdo.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E17 / Inscripción al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se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E18 / Emplear criterios de dieta saludable en la elaboración de recetas y productos elaborados,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utiliza criterios de dieta saludable en la elaboración de recetas y productos elaborados.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se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Informe nutricional o memoria que justifique el requisito.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E19 / En el caso de los obradores, utilizar equipos y sistemas de aprovechamiento de energía renovable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obrador utiliza equipos y sistemas de aprovechamiento de energía renovable.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equipo o sistema utilizado y adjuntar imágenes y ubicación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E20 / En el caso de los obradores, adoptar medidas para reducir la contaminación lumínica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obrador utiliza medidas para reducir la contaminación lumínica.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listado de medidas aplicadas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E21 / En el caso de los obradores, utilizar productos de limpieza biodegradables o 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obrador utiliza productos de limpieza biodegradables o 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utilizados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E22 / Adoptar medidas para reducir el derroche alimentario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adopta medidas para reducir el derroche alimentario.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Listado les medidas aplicadas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E23 / Organizar o participar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Organiza 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Eventos....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E24 / Contratar personal con necesidades específicas, parados de larga duración,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contrata personal con necesidades específicas.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E25 / Colabora en estudios 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colabora en estudios 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estudio o proyecto y adjuntar certificado de la administración impulsora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E26 / Promover o participar en actividades de mecenazgo artístico, cultural, deportivo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colabora en actividades de mecenazgo artístico, cultural, deportivo.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2BoldTablee"/>
              <w:widowControl w:val="false"/>
              <w:suppressAutoHyphens w:val="true"/>
              <w:spacing w:before="57" w:after="79"/>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las actividades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la empresa elaboradora de trigo y derivados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N3 / Está registrado en la p</w:t>
            </w:r>
            <w:r>
              <w:rPr>
                <w:rFonts w:eastAsia="" w:cs=""/>
                <w:kern w:val="0"/>
                <w:sz w:val="18"/>
                <w:lang w:val="es-ES" w:eastAsia="en-US" w:bidi="ar-SA"/>
              </w:rPr>
              <w:t>á</w:t>
            </w:r>
            <w:r>
              <w:rPr>
                <w:rFonts w:eastAsia="" w:cs=""/>
                <w:kern w:val="0"/>
                <w:sz w:val="18"/>
                <w:lang w:val="es-ES" w:eastAsia="en-US" w:bidi="ar-SA"/>
              </w:rPr>
              <w:t>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N4 / Dispone de materiales editados por la RB en el establecimiento que informen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N5/ Asistir a les sesiones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spacing w:before="320" w:after="320"/>
        <w:rPr>
          <w:lang w:val="es-ES"/>
        </w:rPr>
      </w:pPr>
      <w:r>
        <w:rPr>
          <w:lang w:val="es-ES"/>
        </w:rPr>
        <mc:AlternateContent>
          <mc:Choice Requires="wps">
            <w:drawing>
              <wp:anchor behindDoc="0" distT="3175" distB="3175" distL="0" distR="0" simplePos="0" locked="0" layoutInCell="1" allowOverlap="1" relativeHeight="72">
                <wp:simplePos x="0" y="0"/>
                <wp:positionH relativeFrom="column">
                  <wp:posOffset>0</wp:posOffset>
                </wp:positionH>
                <wp:positionV relativeFrom="paragraph">
                  <wp:posOffset>1270</wp:posOffset>
                </wp:positionV>
                <wp:extent cx="6515100" cy="635"/>
                <wp:effectExtent l="0" t="3175" r="0" b="3175"/>
                <wp:wrapNone/>
                <wp:docPr id="1"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8">
              <wp:simplePos x="0" y="0"/>
              <wp:positionH relativeFrom="column">
                <wp:posOffset>5456555</wp:posOffset>
              </wp:positionH>
              <wp:positionV relativeFrom="paragraph">
                <wp:posOffset>-177800</wp:posOffset>
              </wp:positionV>
              <wp:extent cx="297815" cy="360680"/>
              <wp:effectExtent l="0" t="0" r="0" b="0"/>
              <wp:wrapNone/>
              <wp:docPr id="2" name="Marco1"/>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fillcolor="white" stroked="f" o:allowincell="f" style="position:absolute;margin-left:429.65pt;margin-top:-14pt;width:23.4pt;height:28.35pt;mso-wrap-style:none;v-text-anchor:middle">
              <v:fill o:detectmouseclick="t" type="solid" color2="black" opacity="0"/>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6">
              <wp:simplePos x="0" y="0"/>
              <wp:positionH relativeFrom="column">
                <wp:posOffset>5798185</wp:posOffset>
              </wp:positionH>
              <wp:positionV relativeFrom="paragraph">
                <wp:posOffset>-222250</wp:posOffset>
              </wp:positionV>
              <wp:extent cx="742315" cy="755015"/>
              <wp:effectExtent l="0" t="0" r="0" b="0"/>
              <wp:wrapNone/>
              <wp:docPr id="3" name="Marco2"/>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pPr>
                          <w:r>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2" path="m0,0l-2147483645,0l-2147483645,-2147483646l0,-2147483646xe" fillcolor="white" stroked="f" o:allowincell="f" style="position:absolute;margin-left:456.55pt;margin-top:-17.5pt;width:58.4pt;height:59.4pt;mso-wrap-style:none;v-text-anchor:middle">
              <v:fill o:detectmouseclick="t" type="solid" color2="black" opacity="0"/>
              <v:stroke color="#3465a4" joinstyle="round" endcap="flat"/>
              <v:textbox>
                <w:txbxContent>
                  <w:p>
                    <w:pPr>
                      <w:pStyle w:val="Cabecera"/>
                      <w:spacing w:before="40" w:after="80"/>
                      <w:rPr/>
                    </w:pPr>
                    <w:r>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3665" distR="114300" simplePos="0" locked="0" layoutInCell="0" allowOverlap="1" relativeHeight="99">
              <wp:simplePos x="0" y="0"/>
              <wp:positionH relativeFrom="column">
                <wp:posOffset>-32385</wp:posOffset>
              </wp:positionH>
              <wp:positionV relativeFrom="paragraph">
                <wp:posOffset>-101600</wp:posOffset>
              </wp:positionV>
              <wp:extent cx="4844415" cy="624205"/>
              <wp:effectExtent l="0" t="0" r="0" b="0"/>
              <wp:wrapSquare wrapText="bothSides"/>
              <wp:docPr id="4" name="Marco3"/>
              <a:graphic xmlns:a="http://schemas.openxmlformats.org/drawingml/2006/main">
                <a:graphicData uri="http://schemas.microsoft.com/office/word/2010/wordprocessingShape">
                  <wps:wsp>
                    <wps:cNvSpPr/>
                    <wps:spPr>
                      <a:xfrm>
                        <a:off x="0" y="0"/>
                        <a:ext cx="4844520" cy="624240"/>
                      </a:xfrm>
                      <a:prstGeom prst="rect">
                        <a:avLst/>
                      </a:prstGeom>
                      <a:noFill/>
                      <a:ln w="0">
                        <a:noFill/>
                      </a:ln>
                    </wps:spPr>
                    <wps:style>
                      <a:lnRef idx="0"/>
                      <a:fillRef idx="0"/>
                      <a:effectRef idx="0"/>
                      <a:fontRef idx="minor"/>
                    </wps:style>
                    <wps:txb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3" path="m0,0l-2147483645,0l-2147483645,-2147483646l0,-2147483646xe" fillcolor="white" stroked="f" o:allowincell="f" style="position:absolute;margin-left:-2.55pt;margin-top:-8pt;width:381.4pt;height:49.1pt;mso-wrap-style:square;v-text-anchor:top">
              <v:fill o:detectmouseclick="t" type="solid" color2="black" opacity="0"/>
              <v:stroke color="#3465a4" joinstyle="round" endcap="flat"/>
              <v:textbo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71">
              <wp:simplePos x="0" y="0"/>
              <wp:positionH relativeFrom="column">
                <wp:posOffset>0</wp:posOffset>
              </wp:positionH>
              <wp:positionV relativeFrom="paragraph">
                <wp:posOffset>143510</wp:posOffset>
              </wp:positionV>
              <wp:extent cx="6515100" cy="635"/>
              <wp:effectExtent l="0" t="3175" r="0" b="3175"/>
              <wp:wrapNone/>
              <wp:docPr id="5" name="Straight Connector 4"/>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437ef9"/>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700727"/>
    <w:pPr>
      <w:spacing w:lineRule="auto" w:line="276" w:before="0" w:after="140"/>
    </w:pPr>
    <w:rPr/>
  </w:style>
  <w:style w:type="paragraph" w:styleId="Lista">
    <w:name w:val="List"/>
    <w:basedOn w:val="Cuerpodetexto"/>
    <w:rsid w:val="00700727"/>
    <w:pPr/>
    <w:rPr>
      <w:rFonts w:cs="Lucida Sans"/>
    </w:rPr>
  </w:style>
  <w:style w:type="paragraph" w:styleId="Leyenda" w:customStyle="1">
    <w:name w:val="Caption"/>
    <w:basedOn w:val="Normal"/>
    <w:qFormat/>
    <w:rsid w:val="00700727"/>
    <w:pPr>
      <w:suppressLineNumbers/>
      <w:spacing w:before="120" w:after="120"/>
    </w:pPr>
    <w:rPr>
      <w:rFonts w:cs="Lucida Sans"/>
      <w:i/>
      <w:iCs/>
      <w:sz w:val="24"/>
      <w:szCs w:val="24"/>
    </w:rPr>
  </w:style>
  <w:style w:type="paragraph" w:styleId="Ndice" w:customStyle="1">
    <w:name w:val="Índice"/>
    <w:basedOn w:val="Normal"/>
    <w:qFormat/>
    <w:rsid w:val="00700727"/>
    <w:pPr>
      <w:suppressLineNumbers/>
    </w:pPr>
    <w:rPr>
      <w:rFonts w:cs="Lucida Sans"/>
    </w:rPr>
  </w:style>
  <w:style w:type="paragraph" w:styleId="Ttulogeneral">
    <w:name w:val="Title"/>
    <w:basedOn w:val="Normal"/>
    <w:next w:val="Cuerpodetexto"/>
    <w:qFormat/>
    <w:rsid w:val="00700727"/>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Txtregular" w:customStyle="1">
    <w:name w:val="10_Txt regular"/>
    <w:basedOn w:val="03Tableregular"/>
    <w:qFormat/>
    <w:rsid w:val="00be6de3"/>
    <w:pPr/>
    <w:rPr>
      <w:sz w:val="19"/>
      <w:szCs w:val="19"/>
    </w:rPr>
  </w:style>
  <w:style w:type="paragraph" w:styleId="11txt" w:customStyle="1">
    <w:name w:val="11_txt"/>
    <w:basedOn w:val="03Tableregular"/>
    <w:qFormat/>
    <w:rsid w:val="006265b6"/>
    <w:pPr>
      <w:spacing w:before="120" w:after="120"/>
    </w:pPr>
    <w:rPr>
      <w:i/>
      <w:sz w:val="17"/>
      <w:szCs w:val="17"/>
    </w:rPr>
  </w:style>
  <w:style w:type="paragraph" w:styleId="10Regular" w:customStyle="1">
    <w:name w:val="10_Regular"/>
    <w:basedOn w:val="Normal"/>
    <w:qFormat/>
    <w:rsid w:val="00442e02"/>
    <w:pPr>
      <w:spacing w:lineRule="auto" w:line="276" w:before="80" w:after="80"/>
    </w:pPr>
    <w:rPr>
      <w:rFonts w:ascii="Trebuchet MS" w:hAnsi="Trebuchet MS"/>
      <w:color w:val="153646"/>
    </w:rPr>
  </w:style>
  <w:style w:type="paragraph" w:styleId="Contenidodelmarco" w:customStyle="1">
    <w:name w:val="Contenido del marco"/>
    <w:basedOn w:val="Normal"/>
    <w:qFormat/>
    <w:rsid w:val="00700727"/>
    <w:pPr/>
    <w:rPr/>
  </w:style>
  <w:style w:type="paragraph" w:styleId="BalloonText">
    <w:name w:val="Balloon Text"/>
    <w:basedOn w:val="Normal"/>
    <w:link w:val="TextodegloboCar"/>
    <w:uiPriority w:val="99"/>
    <w:semiHidden/>
    <w:unhideWhenUsed/>
    <w:qFormat/>
    <w:rsid w:val="00437ef9"/>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1FAC-814A-4250-8208-0DC5A6B2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LibreOffice/7.5.7.1$Windows_X86_64 LibreOffice_project/47eb0cf7efbacdee9b19ae25d6752381ede23126</Application>
  <AppVersion>15.0000</AppVersion>
  <Pages>14</Pages>
  <Words>2283</Words>
  <Characters>12419</Characters>
  <CharactersWithSpaces>14444</CharactersWithSpaces>
  <Paragraphs>256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2021-05-11T12:22:00Z</dcterms:created>
  <dc:creator>Microsoft Office User</dc:creator>
  <dc:description/>
  <dc:language>es-ES</dc:language>
  <cp:lastModifiedBy/>
  <cp:lastPrinted>2019-06-18T15:52:00Z</cp:lastPrinted>
  <dcterms:modified xsi:type="dcterms:W3CDTF">2025-05-05T11:47:55Z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