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rFonts w:ascii="Trebuchet MS" w:hAnsi="Trebuchet MS"/>
          <w:lang w:val="es-ES"/>
        </w:rPr>
      </w:pPr>
      <w:r>
        <w:rPr>
          <w:rFonts w:ascii="Trebuchet MS" w:hAnsi="Trebuchet MS"/>
          <w:lang w:val="es-ES"/>
        </w:rPr>
      </w:r>
    </w:p>
    <w:p>
      <w:pPr>
        <w:pStyle w:val="Normal"/>
        <w:numPr>
          <w:ilvl w:val="0"/>
          <w:numId w:val="0"/>
        </w:numPr>
        <w:ind w:left="0" w:hanging="0"/>
        <w:outlineLvl w:val="0"/>
        <w:rPr/>
      </w:pPr>
      <w:r>
        <w:rPr>
          <w:rStyle w:val="Strong"/>
          <w:rFonts w:ascii="Trebuchet MS" w:hAnsi="Trebuchet MS"/>
          <w:color w:val="00AFAA"/>
          <w:sz w:val="20"/>
          <w:lang w:val="es-ES"/>
        </w:rPr>
        <w:t>CATEGORÍA 19</w:t>
      </w:r>
    </w:p>
    <w:p>
      <w:pPr>
        <w:pStyle w:val="Head1"/>
        <w:numPr>
          <w:ilvl w:val="0"/>
          <w:numId w:val="0"/>
        </w:numPr>
        <w:ind w:left="0" w:hanging="0"/>
        <w:outlineLvl w:val="0"/>
        <w:rPr>
          <w:lang w:val="es-ES"/>
        </w:rPr>
      </w:pPr>
      <w:r>
        <w:rPr>
          <w:rFonts w:ascii="Trebuchet MS" w:hAnsi="Trebuchet MS"/>
          <w:b/>
          <w:color w:val="002B49"/>
          <w:sz w:val="54"/>
          <w:szCs w:val="54"/>
          <w:lang w:val="es-ES"/>
        </w:rPr>
        <w:t>ESPACIOS CULTURALES</w:t>
      </w:r>
    </w:p>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0"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sz w:val="16"/>
                <w:szCs w:val="16"/>
                <w:lang w:val="es-ES" w:eastAsia="en-US" w:bidi="ar-SA"/>
              </w:rPr>
              <w:t>Nombre Jurídico empresa gestora espacio cultural:</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pct10"/>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sz w:val="16"/>
                <w:szCs w:val="16"/>
                <w:lang w:val="es-ES" w:eastAsia="en-US" w:bidi="ar-SA"/>
              </w:rPr>
              <w:t>Nombre comercial espacio cultural:</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sz w:val="16"/>
                <w:szCs w:val="16"/>
                <w:lang w:val="es-ES" w:eastAsia="en-US" w:bidi="ar-SA"/>
              </w:rPr>
              <w:t>Dirección del espacio cultural:</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pct10"/>
            <w:vAlign w:val="center"/>
          </w:tcPr>
          <w:p>
            <w:pPr>
              <w:pStyle w:val="Tableinfo"/>
              <w:widowControl w:val="false"/>
              <w:suppressAutoHyphens w:val="true"/>
              <w:spacing w:before="80" w:after="80"/>
              <w:jc w:val="left"/>
              <w:rPr>
                <w:lang w:val="es-ES"/>
              </w:rPr>
            </w:pPr>
            <w:r>
              <w:rPr>
                <w:rFonts w:eastAsia="" w:cs="" w:ascii="Trebuchet MS" w:hAnsi="Trebuchet MS"/>
                <w:color w:val="153646"/>
                <w:kern w:val="0"/>
                <w:sz w:val="16"/>
                <w:szCs w:val="16"/>
                <w:lang w:val="es-ES" w:eastAsia="en-US" w:bidi="ar-SA"/>
              </w:rPr>
              <w:t>NIF</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sz w:val="16"/>
                <w:szCs w:val="16"/>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sz w:val="16"/>
                <w:szCs w:val="16"/>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sz w:val="16"/>
                <w:szCs w:val="16"/>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Código Catastral espacio cultural:</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bold"/>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r>
        <w:trPr>
          <w:trHeight w:val="432" w:hRule="atLeast"/>
        </w:trPr>
        <w:tc>
          <w:tcPr>
            <w:tcW w:w="10191" w:type="dxa"/>
            <w:gridSpan w:val="2"/>
            <w:tcBorders/>
            <w:shd w:color="auto" w:fill="F2F2F2" w:themeFill="background1" w:themeFillShade="f2" w:val="clear"/>
          </w:tcPr>
          <w:p>
            <w:pPr>
              <w:pStyle w:val="02BoldTablee"/>
              <w:widowControl w:val="false"/>
              <w:suppressAutoHyphens w:val="true"/>
              <w:spacing w:before="80" w:after="80"/>
              <w:jc w:val="left"/>
              <w:rPr>
                <w:lang w:val="es-ES"/>
              </w:rPr>
            </w:pPr>
            <w:r>
              <w:rPr>
                <w:rFonts w:eastAsia="" w:cs=""/>
                <w:kern w:val="0"/>
                <w:lang w:val="es-ES" w:eastAsia="en-US" w:bidi="ar-SA"/>
              </w:rPr>
              <w:t>Núm licencia actividades:</w:t>
            </w:r>
          </w:p>
        </w:tc>
      </w:tr>
      <w:tr>
        <w:trPr>
          <w:trHeight w:val="432" w:hRule="atLeast"/>
        </w:trPr>
        <w:tc>
          <w:tcPr>
            <w:tcW w:w="10191" w:type="dxa"/>
            <w:gridSpan w:val="2"/>
            <w:tcBorders/>
          </w:tcPr>
          <w:p>
            <w:pPr>
              <w:pStyle w:val="Tablebold"/>
              <w:widowControl w:val="false"/>
              <w:suppressAutoHyphens w:val="true"/>
              <w:spacing w:before="80" w:after="80"/>
              <w:jc w:val="left"/>
              <w:rPr>
                <w:rFonts w:ascii="Trebuchet MS" w:hAnsi="Trebuchet MS"/>
                <w:color w:val="153646"/>
                <w:sz w:val="16"/>
                <w:szCs w:val="16"/>
                <w:lang w:val="es-ES"/>
              </w:rPr>
            </w:pPr>
            <w:r>
              <w:rPr>
                <w:rFonts w:ascii="Trebuchet MS" w:hAnsi="Trebuchet MS"/>
                <w:color w:val="153646"/>
                <w:sz w:val="16"/>
                <w:szCs w:val="16"/>
                <w:lang w:val="es-ES"/>
              </w:rPr>
            </w:r>
          </w:p>
        </w:tc>
      </w:tr>
    </w:tbl>
    <w:p>
      <w:pPr>
        <w:pStyle w:val="Normal"/>
        <w:spacing w:lineRule="auto" w:line="276"/>
        <w:rPr>
          <w:rFonts w:ascii="Trebuchet MS" w:hAnsi="Trebuchet MS"/>
          <w:color w:val="002B49"/>
          <w:lang w:val="es-ES"/>
        </w:rPr>
      </w:pPr>
      <w:r>
        <w:rPr>
          <w:rFonts w:ascii="Trebuchet MS" w:hAnsi="Trebuchet MS"/>
          <w:color w:val="002B49"/>
          <w:lang w:val="es-ES"/>
        </w:rPr>
      </w:r>
    </w:p>
    <w:p>
      <w:pPr>
        <w:pStyle w:val="03Tableregular"/>
        <w:rPr>
          <w:rFonts w:ascii="Trebuchet MS" w:hAnsi="Trebuchet MS"/>
          <w:sz w:val="20"/>
          <w:lang w:val="es-ES"/>
        </w:rPr>
      </w:pPr>
      <w:r>
        <w:rPr>
          <w:sz w:val="20"/>
          <w:lang w:val="es-ES"/>
        </w:rPr>
      </w:r>
    </w:p>
    <w:p>
      <w:pPr>
        <w:pStyle w:val="03Tableregular"/>
        <w:rPr>
          <w:rFonts w:ascii="Trebuchet MS" w:hAnsi="Trebuchet MS"/>
          <w:sz w:val="20"/>
          <w:lang w:val="es-ES"/>
        </w:rPr>
      </w:pPr>
      <w:r>
        <w:rPr>
          <w:sz w:val="20"/>
          <w:lang w:val="es-ES"/>
        </w:rPr>
      </w:r>
    </w:p>
    <w:p>
      <w:pPr>
        <w:pStyle w:val="03Tableregular"/>
        <w:rPr>
          <w:rFonts w:ascii="Trebuchet MS" w:hAnsi="Trebuchet MS"/>
          <w:sz w:val="20"/>
          <w:lang w:val="es-ES"/>
        </w:rPr>
      </w:pPr>
      <w:r>
        <w:rPr>
          <w:sz w:val="20"/>
          <w:lang w:val="es-ES"/>
        </w:rPr>
      </w:r>
    </w:p>
    <w:p>
      <w:pPr>
        <w:pStyle w:val="03Tableregular"/>
        <w:rPr>
          <w:rFonts w:ascii="Trebuchet MS" w:hAnsi="Trebuchet MS"/>
          <w:sz w:val="20"/>
          <w:lang w:val="es-ES"/>
        </w:rPr>
      </w:pPr>
      <w:r>
        <w:rPr>
          <w:sz w:val="20"/>
          <w:lang w:val="es-ES"/>
        </w:rPr>
      </w:r>
    </w:p>
    <w:p>
      <w:pPr>
        <w:pStyle w:val="03Tableregular"/>
        <w:rPr>
          <w:rFonts w:ascii="Trebuchet MS" w:hAnsi="Trebuchet MS"/>
          <w:sz w:val="20"/>
          <w:lang w:val="es-ES"/>
        </w:rPr>
      </w:pPr>
      <w:r>
        <w:rPr>
          <w:sz w:val="20"/>
          <w:lang w:val="es-ES"/>
        </w:rPr>
      </w:r>
    </w:p>
    <w:p>
      <w:pPr>
        <w:pStyle w:val="03Tableregular"/>
        <w:rPr>
          <w:rFonts w:ascii="Trebuchet MS" w:hAnsi="Trebuchet MS"/>
          <w:sz w:val="20"/>
          <w:lang w:val="es-ES"/>
        </w:rPr>
      </w:pPr>
      <w:r>
        <w:rPr>
          <w:sz w:val="20"/>
          <w:lang w:val="es-ES"/>
        </w:rPr>
      </w:r>
    </w:p>
    <w:p>
      <w:pPr>
        <w:pStyle w:val="03Tableregular"/>
        <w:rPr>
          <w:rFonts w:ascii="Trebuchet MS" w:hAnsi="Trebuchet MS"/>
          <w:sz w:val="20"/>
          <w:lang w:val="es-ES"/>
        </w:rPr>
      </w:pPr>
      <w:r>
        <w:rPr>
          <w:sz w:val="20"/>
          <w:lang w:val="es-ES"/>
        </w:rPr>
      </w:r>
    </w:p>
    <w:tbl>
      <w:tblPr>
        <w:tblStyle w:val="Tablaconcuadrcula"/>
        <w:tblW w:w="10192" w:type="dxa"/>
        <w:jc w:val="left"/>
        <w:tblInd w:w="0" w:type="dxa"/>
        <w:tblLayout w:type="fixed"/>
        <w:tblCellMar>
          <w:top w:w="0" w:type="dxa"/>
          <w:left w:w="109" w:type="dxa"/>
          <w:bottom w:w="0" w:type="dxa"/>
          <w:right w:w="108" w:type="dxa"/>
        </w:tblCellMar>
        <w:tblLook w:val="04a0"/>
      </w:tblPr>
      <w:tblGrid>
        <w:gridCol w:w="10192"/>
      </w:tblGrid>
      <w:tr>
        <w:trPr>
          <w:trHeight w:val="454"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pacing w:before="80" w:after="80"/>
              <w:rPr/>
            </w:pPr>
            <w:r>
              <w:rPr>
                <w:rFonts w:eastAsia="" w:cs=""/>
                <w:kern w:val="0"/>
                <w:lang w:val="es-ES" w:eastAsia="en-US" w:bidi="ar-SA"/>
              </w:rPr>
              <w:t>INSTRUCCIONES PARA RELLENAR ESTA MEMORIA JUSTIFICATIVA</w:t>
            </w:r>
          </w:p>
        </w:tc>
      </w:tr>
      <w:tr>
        <w:trPr>
          <w:trHeight w:val="454" w:hRule="atLeast"/>
          <w:cantSplit w:val="true"/>
        </w:trPr>
        <w:tc>
          <w:tcPr>
            <w:tcW w:w="10192" w:type="dxa"/>
            <w:tcBorders>
              <w:top w:val="nil"/>
              <w:left w:val="single" w:sz="2" w:space="0" w:color="D9D9D9"/>
              <w:bottom w:val="single" w:sz="2" w:space="0" w:color="D9D9D9"/>
              <w:right w:val="single" w:sz="2" w:space="0" w:color="D9D9D9"/>
            </w:tcBorders>
            <w:vAlign w:val="center"/>
          </w:tcPr>
          <w:p>
            <w:pPr>
              <w:pStyle w:val="Standard"/>
              <w:widowControl w:val="false"/>
              <w:spacing w:lineRule="auto" w:line="276" w:before="0" w:after="0"/>
              <w:jc w:val="left"/>
              <w:rPr>
                <w:rFonts w:ascii="Trebuchet MS" w:hAnsi="Trebuchet MS"/>
                <w:color w:val="595959" w:themeColor="text1" w:themeTint="a6"/>
                <w:sz w:val="19"/>
                <w:szCs w:val="19"/>
              </w:rPr>
            </w:pPr>
            <w:r>
              <w:rPr>
                <w:rFonts w:ascii="Trebuchet MS" w:hAnsi="Trebuchet MS"/>
                <w:color w:val="595959" w:themeColor="text1" w:themeTint="a6"/>
                <w:sz w:val="19"/>
                <w:szCs w:val="19"/>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caso de que sea difícil la comprobación documental del cumplimiento del requisito, éste se podrá completar con información recogida durante la visita presencial que los técnicos del Consell Insular realizarán antes de la resolución de la obtención de la Marca. Esta circunstancia puede ser indicada en la memoria.</w:t>
            </w:r>
          </w:p>
          <w:p>
            <w:pPr>
              <w:pStyle w:val="Standard"/>
              <w:widowControl w:val="false"/>
              <w:spacing w:lineRule="auto" w:line="276" w:before="0" w:after="0"/>
              <w:jc w:val="left"/>
              <w:rPr>
                <w:rFonts w:ascii="Trebuchet MS" w:hAnsi="Trebuchet MS"/>
                <w:b/>
                <w:color w:val="595959" w:themeColor="text1" w:themeTint="a6"/>
                <w:sz w:val="19"/>
                <w:szCs w:val="19"/>
              </w:rPr>
            </w:pPr>
            <w:r>
              <w:rPr>
                <w:rFonts w:ascii="Trebuchet MS" w:hAnsi="Trebuchet MS"/>
                <w:b/>
                <w:color w:val="595959" w:themeColor="text1" w:themeTint="a6"/>
                <w:sz w:val="19"/>
                <w:szCs w:val="19"/>
              </w:rPr>
            </w:r>
          </w:p>
          <w:p>
            <w:pPr>
              <w:pStyle w:val="Standard"/>
              <w:widowControl w:val="false"/>
              <w:spacing w:lineRule="auto" w:line="276" w:before="0" w:after="0"/>
              <w:jc w:val="left"/>
              <w:rPr>
                <w:lang w:val="es-ES"/>
              </w:rPr>
            </w:pPr>
            <w:r>
              <w:rPr>
                <w:rFonts w:ascii="Trebuchet MS" w:hAnsi="Trebuchet MS"/>
                <w:b/>
                <w:color w:val="595959" w:themeColor="text1" w:themeTint="a6"/>
                <w:sz w:val="19"/>
                <w:szCs w:val="19"/>
                <w:lang w:val="es-ES"/>
              </w:rPr>
              <w:t>Recuerde que aparte de los requisitos obligatorios, en necesario cumplir toda la normativa sectorial que le sea aplicable al servicio o actividad objeto de la Marca (Anexo 3). L’Agència Menorca Reserva de Biosfera podrá realizar las comprobaciones oportunas a tal efecto.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de los requisitos, sobre todo en caso de acreditar el cumplimiento obligatorio de normativa sectorial serán comprobados de oficio por la propia Agencia Menorca Reserva de Biosfera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03Tableregular"/>
        <w:rPr>
          <w:lang w:val="es-ES"/>
        </w:rPr>
      </w:pPr>
      <w:r>
        <w:rPr>
          <w:sz w:val="20"/>
          <w:lang w:val="es-ES"/>
        </w:rPr>
        <w:t xml:space="preserve">Para poder solicitar el uso de la marca y el logotipo </w:t>
      </w:r>
      <w:r>
        <w:rPr>
          <w:b/>
          <w:color w:val="00AFAA"/>
          <w:lang w:val="es-ES"/>
        </w:rPr>
        <w:t>“Menorca Reserva de Biosfera”</w:t>
      </w:r>
      <w:r>
        <w:rPr>
          <w:sz w:val="20"/>
          <w:lang w:val="es-ES"/>
        </w:rPr>
        <w:t>, la empresa debe cumplir los</w:t>
      </w:r>
      <w:r>
        <w:rPr>
          <w:b/>
          <w:bCs/>
          <w:sz w:val="20"/>
          <w:lang w:val="es-ES"/>
        </w:rPr>
        <w:t xml:space="preserve"> requisitos obligatorios</w:t>
      </w:r>
      <w:r>
        <w:rPr>
          <w:sz w:val="20"/>
          <w:lang w:val="es-ES"/>
        </w:rPr>
        <w:t xml:space="preserve"> siguientes:</w:t>
      </w:r>
    </w:p>
    <w:p>
      <w:pPr>
        <w:pStyle w:val="Normal"/>
        <w:rPr>
          <w:lang w:val="es-ES"/>
        </w:rPr>
      </w:pPr>
      <w:r>
        <w:rPr>
          <w:rFonts w:ascii="Trebuchet MS" w:hAnsi="Trebuchet MS"/>
          <w:b/>
          <w:color w:val="002B49"/>
          <w:sz w:val="40"/>
          <w:szCs w:val="40"/>
          <w:lang w:val="es-ES"/>
        </w:rPr>
        <w:t>Cumplimiento de los requisitos obligatorios</w:t>
      </w:r>
    </w:p>
    <w:p>
      <w:pPr>
        <w:pStyle w:val="Standard"/>
        <w:spacing w:lineRule="auto" w:line="276"/>
        <w:rPr>
          <w:rFonts w:ascii="Trebuchet MS" w:hAnsi="Trebuchet MS"/>
          <w:color w:val="002B49"/>
          <w:sz w:val="18"/>
          <w:szCs w:val="18"/>
          <w:lang w:val="es-ES"/>
        </w:rPr>
      </w:pPr>
      <w:r>
        <w:rPr>
          <w:rFonts w:ascii="Trebuchet MS" w:hAnsi="Trebuchet MS"/>
          <w:color w:val="002B49"/>
          <w:sz w:val="18"/>
          <w:szCs w:val="18"/>
          <w:lang w:val="es-ES"/>
        </w:rPr>
      </w:r>
    </w:p>
    <w:p>
      <w:pPr>
        <w:pStyle w:val="Head1"/>
        <w:keepNext w:val="true"/>
        <w:keepLines/>
        <w:rPr>
          <w:lang w:val="es-ES"/>
        </w:rPr>
      </w:pPr>
      <w:r>
        <w:rPr>
          <w:rFonts w:ascii="Trebuchet MS" w:hAnsi="Trebuchet MS"/>
          <w:b/>
          <w:color w:val="00AFAA"/>
          <w:sz w:val="22"/>
          <w:szCs w:val="22"/>
          <w:lang w:val="es-ES"/>
        </w:rPr>
        <w:t>C / Actividades de la entidad cultural</w:t>
      </w:r>
    </w:p>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120" w:type="dxa"/>
        <w:jc w:val="left"/>
        <w:tblInd w:w="52" w:type="dxa"/>
        <w:tblLayout w:type="fixed"/>
        <w:tblCellMar>
          <w:top w:w="0" w:type="dxa"/>
          <w:left w:w="109"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C2 /  Ofrece actividades compatibles con los objetivos de la Reserva de la Biosfera, el Plan de Acción y la normativa de protección del territorio aplicable.</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pPr>
            <w:r>
              <w:rPr>
                <w:rFonts w:eastAsia="" w:cs=""/>
                <w:kern w:val="0"/>
                <w:lang w:val="es-ES" w:eastAsia="en-US" w:bidi="ar-SA"/>
              </w:rPr>
              <w:t xml:space="preserve">La empresa gestora del Espacio Cultural debe justificar que las acciones que realiza son compatibles con el plan de acción de la Reserva de Biosfera </w:t>
            </w:r>
            <w:hyperlink r:id="rId3">
              <w:r>
                <w:rPr>
                  <w:rStyle w:val="EnlacedeInternet"/>
                  <w:rFonts w:eastAsia="" w:cs=""/>
                  <w:kern w:val="0"/>
                  <w:lang w:val="es-ES" w:eastAsia="en-US" w:bidi="ar-SA"/>
                </w:rPr>
                <w:t>http://www.menorcabiosfera.org/Contingut.aspx?IdPub=3124</w:t>
              </w:r>
            </w:hyperlink>
            <w:r>
              <w:rPr>
                <w:rFonts w:eastAsia="" w:cs=""/>
                <w:kern w:val="0"/>
                <w:lang w:val="es-ES" w:eastAsia="en-US" w:bidi="ar-SA"/>
              </w:rPr>
              <w:t xml:space="preserve">  y que cumple la normativa aplicable a la protección territorial.</w:t>
            </w:r>
          </w:p>
        </w:tc>
      </w:tr>
      <w:tr>
        <w:trPr>
          <w:trHeight w:val="503" w:hRule="atLeast"/>
          <w:cantSplit w:val="true"/>
        </w:trPr>
        <w:tc>
          <w:tcPr>
            <w:tcW w:w="2999"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i w:val="false"/>
                <w:iCs w:val="false"/>
                <w:color w:val="153646"/>
                <w:kern w:val="0"/>
                <w:sz w:val="18"/>
                <w:szCs w:val="20"/>
                <w:lang w:val="es-ES" w:eastAsia="en-US" w:bidi="ar-SA"/>
              </w:rPr>
              <w:t>Indicar qué actividades</w:t>
            </w:r>
          </w:p>
        </w:tc>
      </w:tr>
      <w:tr>
        <w:trPr>
          <w:trHeight w:val="503" w:hRule="atLeast"/>
          <w:cantSplit w:val="true"/>
        </w:trPr>
        <w:tc>
          <w:tcPr>
            <w:tcW w:w="2999" w:type="dxa"/>
            <w:vMerge w:val="continue"/>
            <w:tcBorders>
              <w:top w:val="single" w:sz="2" w:space="0" w:color="D9D9D9"/>
              <w:left w:val="single" w:sz="2" w:space="0" w:color="D9D9D9"/>
              <w:bottom w:val="single" w:sz="2" w:space="0" w:color="D9D9D9"/>
              <w:right w:val="single" w:sz="4"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bCs/>
                <w:color w:val="002B49"/>
                <w:szCs w:val="18"/>
                <w:highlight w:val="white"/>
                <w:lang w:val="es-ES"/>
              </w:rPr>
            </w:pPr>
            <w:r>
              <w:rPr>
                <w:rFonts w:ascii="Trebuchet MS" w:hAnsi="Trebuchet MS"/>
                <w:bCs/>
                <w:color w:val="002B49"/>
                <w:szCs w:val="18"/>
                <w:highlight w:val="white"/>
                <w:lang w:val="es-ES"/>
              </w:rPr>
            </w:r>
          </w:p>
        </w:tc>
        <w:tc>
          <w:tcPr>
            <w:tcW w:w="712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p>
      <w:pPr>
        <w:pStyle w:val="Head1"/>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C3 / En el caso de realizar actividades en lugares sensibles (parque natural, espacios de la red Natura 2000, u otros espacios protegidos) se llevan a cabo de acuerdo con la normativa específica aplicable, se aplican las medidas correctoras indicadas por la autoridad y se dispone de autorización expresa.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entidad aplica medidas de acuerdo con la normativa especifica si se realizan actividades en lugares sensibles (parque natural, espacios de la red Natura 2000...)</w:t>
            </w:r>
          </w:p>
        </w:tc>
      </w:tr>
      <w:tr>
        <w:trPr>
          <w:trHeight w:val="251"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i w:val="false"/>
                <w:iCs w:val="false"/>
                <w:color w:val="153646"/>
                <w:kern w:val="0"/>
                <w:sz w:val="18"/>
                <w:szCs w:val="20"/>
                <w:lang w:val="es-ES" w:eastAsia="en-US" w:bidi="ar-SA"/>
              </w:rPr>
              <w:t>Explicación de las actividades que es realizan en los espacios protegidos y permisos y autorizaciones de que se disponen</w:t>
            </w:r>
          </w:p>
        </w:tc>
      </w:tr>
      <w:tr>
        <w:trPr>
          <w:trHeight w:val="251"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ascii="Trebuchet MS" w:hAnsi="Trebuchet MS"/>
                <w:lang w:val="es-ES"/>
              </w:rPr>
            </w:pPr>
            <w:r>
              <w:rPr>
                <w:lang w:val="es-ES"/>
              </w:rPr>
            </w:r>
          </w:p>
        </w:tc>
        <w:tc>
          <w:tcPr>
            <w:tcW w:w="7081" w:type="dxa"/>
            <w:tcBorders>
              <w:top w:val="nil"/>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rFonts w:ascii="Trebuchet MS" w:hAnsi="Trebuchet MS"/>
                <w:lang w:val="es-ES"/>
              </w:rPr>
            </w:pPr>
            <w:r>
              <w:rPr>
                <w:lang w:val="es-ES"/>
              </w:rPr>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Head1"/>
        <w:rPr>
          <w:rFonts w:ascii="Trebuchet MS" w:hAnsi="Trebuchet MS"/>
          <w:szCs w:val="40"/>
          <w:lang w:val="es-ES"/>
        </w:rPr>
      </w:pPr>
      <w:r>
        <w:rPr>
          <w:rFonts w:ascii="Trebuchet MS" w:hAnsi="Trebuchet MS"/>
          <w:szCs w:val="40"/>
          <w:lang w:val="es-ES"/>
        </w:rPr>
      </w:r>
    </w:p>
    <w:p>
      <w:pPr>
        <w:pStyle w:val="Head1"/>
        <w:rPr>
          <w:rFonts w:ascii="Trebuchet MS" w:hAnsi="Trebuchet MS"/>
          <w:szCs w:val="40"/>
          <w:lang w:val="es-ES"/>
        </w:rPr>
      </w:pPr>
      <w:r>
        <w:rPr>
          <w:rFonts w:ascii="Trebuchet MS" w:hAnsi="Trebuchet MS"/>
          <w:szCs w:val="40"/>
          <w:lang w:val="es-ES"/>
        </w:rPr>
      </w:r>
    </w:p>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C4 / Parte de las actividades que se ofrecen o eventos que se organizan se basan en el conocimiento de la Reserva de Biosfera y dispone de información ordenada, rigurosa y adecuada.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Se realizan actividades o eventos con una vertiente de comunicación directa o indirecta de la Reserva de Biosfera.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les acciones de comunicación derivadas del espacio y cómo se ordena la información disponible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ascii="Trebuchet MS" w:hAnsi="Trebuchet MS"/>
                <w:lang w:val="es-ES"/>
              </w:rPr>
            </w:pPr>
            <w:r>
              <w:rPr>
                <w:lang w:val="es-ES"/>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ascii="Trebuchet MS" w:hAnsi="Trebuchet MS"/>
                <w:i w:val="false"/>
                <w:i w:val="false"/>
                <w:color w:val="auto"/>
                <w:sz w:val="18"/>
                <w:szCs w:val="18"/>
                <w:lang w:val="es-ES"/>
              </w:rPr>
            </w:pPr>
            <w:r>
              <w:rPr>
                <w:i w:val="false"/>
                <w:color w:val="auto"/>
                <w:sz w:val="18"/>
                <w:szCs w:val="18"/>
                <w:lang w:val="es-ES"/>
              </w:rPr>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Head1"/>
        <w:rPr>
          <w:color w:val="00AFAA"/>
          <w:lang w:val="es-ES"/>
        </w:rPr>
      </w:pPr>
      <w:r>
        <w:rPr>
          <w:color w:val="00AFAA"/>
          <w:lang w:val="es-ES"/>
        </w:rPr>
      </w:r>
    </w:p>
    <w:p>
      <w:pPr>
        <w:pStyle w:val="Head1"/>
        <w:rPr>
          <w:lang w:val="es-ES"/>
        </w:rPr>
      </w:pPr>
      <w:r>
        <w:rPr>
          <w:lang w:val="es-ES"/>
        </w:rPr>
      </w:r>
    </w:p>
    <w:p>
      <w:pPr>
        <w:pStyle w:val="Head1"/>
        <w:rPr>
          <w:lang w:val="es-ES"/>
        </w:rPr>
      </w:pPr>
      <w:r>
        <w:rPr>
          <w:rFonts w:ascii="Trebuchet MS" w:hAnsi="Trebuchet MS"/>
          <w:b/>
          <w:bCs/>
          <w:color w:val="00AFAA"/>
          <w:sz w:val="22"/>
          <w:szCs w:val="22"/>
          <w:lang w:val="es-ES"/>
        </w:rPr>
        <w:t xml:space="preserve">D/ Mejoras en comportamiento ambiental / Gestión ambiental </w:t>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D5 / Realiza un seguimiento sobre el consumo de energía y adopta medidas concretas para su ahorro (instalaciones, aislamiento, gestión, protocolos funcionamiento....)</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Es necesario indicar cómo se realiza el seguimiento del consumo de energía de la empresa.</w:t>
            </w:r>
          </w:p>
        </w:tc>
      </w:tr>
      <w:tr>
        <w:trPr>
          <w:trHeight w:val="115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modelo de documento con el que se realizará el seguimiento del consumo de energía de la empresa.</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Tableinfo"/>
        <w:spacing w:lineRule="auto" w:line="276"/>
        <w:rPr>
          <w:rFonts w:ascii="Trebuchet MS" w:hAnsi="Trebuchet MS"/>
          <w:szCs w:val="40"/>
          <w:lang w:val="es-ES"/>
        </w:rPr>
      </w:pPr>
      <w:r>
        <w:rPr>
          <w:rFonts w:ascii="Trebuchet MS" w:hAnsi="Trebuchet MS"/>
          <w:szCs w:val="40"/>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D6 / Adopta medidas para la reducción de la contaminación lumínica: reducción de la iluminación exterior, luces solares, temporizadores, sensores de movimiento en el exterior, etc. (solo en caso de tener iluminación exterior)</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La empresa debe disponer de medidas de reducción de contaminación lumínica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 la lista de medidas tomadas por la empresa en relación al requisito anterior.</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D7 /Utiliza sistema de depuración adecuado o está conectada a la red de saneamiento municipal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estar conectada a la red de saneamiento municipal o disponer de un sistema de saneamiento adecuado.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i w:val="false"/>
                <w:iCs w:val="false"/>
                <w:color w:val="153646"/>
                <w:kern w:val="0"/>
                <w:sz w:val="18"/>
                <w:szCs w:val="20"/>
                <w:lang w:val="es-ES" w:eastAsia="en-US" w:bidi="ar-SA"/>
              </w:rPr>
              <w:t>Explicar sistema de depuración que se utiliza e ilustrarlo con fotografía justificativa. En caso de estar conectada al saneamiento municipal, indicar a cual.</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ascii="Trebuchet MS" w:hAnsi="Trebuchet MS"/>
                <w:i/>
                <w:i/>
                <w:color w:val="808080" w:themeColor="background1" w:themeShade="80"/>
                <w:lang w:val="es-ES"/>
              </w:rPr>
            </w:pPr>
            <w:r>
              <w:rPr>
                <w:rFonts w:ascii="Trebuchet MS" w:hAnsi="Trebuchet MS"/>
                <w:i/>
                <w:color w:val="808080" w:themeColor="background1" w:themeShade="80"/>
                <w:lang w:val="es-ES"/>
              </w:rPr>
            </w:r>
          </w:p>
        </w:tc>
      </w:tr>
    </w:tbl>
    <w:p>
      <w:pPr>
        <w:pStyle w:val="Normal"/>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D8/ Tiene una política de compras verdes y promueve las buenas prácticas ambientales de los proveedores.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tener una política de compras verdes en cuanto a proveedores y servicios contratados.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Explicar los criterios de compra y su aplicabilidad.</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bCs/>
                <w:color w:val="002B49"/>
                <w:szCs w:val="18"/>
                <w:lang w:val="es-ES"/>
              </w:rPr>
            </w:pPr>
            <w:r>
              <w:rPr>
                <w:rFonts w:ascii="Trebuchet MS" w:hAnsi="Trebuchet MS"/>
                <w:bCs/>
                <w:color w:val="002B49"/>
                <w:szCs w:val="18"/>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Texto explicativo…</w:t>
            </w:r>
          </w:p>
        </w:tc>
      </w:tr>
    </w:tbl>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D9 / No utiliza plásticos de un solo uso y dispone de una política de reducción de plásticos, envases y embalajes.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eliminar el uso de plásticos de un solo uso y demostrar el cumplimiento de la normativa en materia de envases.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las alternativas a los plásticos de un solo uso.</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bCs/>
                <w:color w:val="002B49"/>
                <w:szCs w:val="18"/>
                <w:lang w:val="es-ES"/>
              </w:rPr>
            </w:pPr>
            <w:r>
              <w:rPr>
                <w:rFonts w:ascii="Trebuchet MS" w:hAnsi="Trebuchet MS"/>
                <w:bCs/>
                <w:color w:val="002B49"/>
                <w:szCs w:val="18"/>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Texto explicativo…</w:t>
            </w:r>
          </w:p>
        </w:tc>
      </w:tr>
    </w:tbl>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D10 / Tiene una política de reducción de papel utilizando soportes electrónicos siempre que sea posible y, en caso contrario, priorizar el papel reciclado y con certificación de papel ecológico.</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reducir el uso innecesario y abusivo de papel y en caso de utilizar, priorizar el reciclado.</w:t>
            </w:r>
          </w:p>
        </w:tc>
      </w:tr>
      <w:tr>
        <w:trPr>
          <w:trHeight w:val="115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D11 / Realiza una gestión adecuada de los residuos especiales y peligrosos generados, a través de gestor autorizado.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disponer de contenedores de recogida selectiva y encargarse de su adecuado tratamiento posterior.</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lang w:val="es-ES"/>
              </w:rPr>
              <w:t>Explicar cómo se realiza la gestión</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D12 / Utiliza contenedores para la recogida selectiva de cada tipo de residuo a disposición del personal y de los clientes.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disponer de contenedores de recogida selectiva y encargarse de su adecuado tratamiento posterior.</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fotografías justificativas de los contenedores de reciclaje de residuos.</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D13 / Transmite de forma documental (contrato, autorización, etc.) el compromiso de adopción de todos los compromisos obligatorios anteriores en caso de cesión o alquiler del establecimiento a terceros.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tener una política de adopción de los requisitos y compromisos de la Marca en caso de alquiler o cesión de la sala.</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Explicar cómo se materializa el compromiso de la Marca en caso de cesión o alquiler de la sala</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rFonts w:ascii="Trebuchet MS" w:hAnsi="Trebuchet MS" w:eastAsia="" w:cs="MinionPro-Regular"/>
          <w:bCs/>
          <w:color w:val="00AFAA"/>
          <w:kern w:val="0"/>
          <w:sz w:val="20"/>
          <w:szCs w:val="20"/>
          <w:lang w:val="es-ES" w:eastAsia="en-US" w:bidi="ar-SA"/>
        </w:rPr>
      </w:pPr>
      <w:r>
        <w:rPr>
          <w:rFonts w:eastAsia="" w:cs="MinionPro-Regular"/>
          <w:bCs/>
          <w:color w:val="00AFAA"/>
          <w:kern w:val="0"/>
          <w:sz w:val="20"/>
          <w:szCs w:val="20"/>
          <w:lang w:val="es-ES" w:eastAsia="en-US" w:bidi="ar-SA"/>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D14/ Incluye productos de agricultura ecológica, adheridos a la marca Menorca Reserva de Biosfera, con acuerdo de custodio o de proveedores adheridos al catálogo de Agroxerxa y se informa al cliente (solo si incluye servicio de bar o restaurante)</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incluye productos con certificación ambiental en el servicio de restauración (en su caso)</w:t>
            </w:r>
          </w:p>
        </w:tc>
      </w:tr>
      <w:tr>
        <w:trPr>
          <w:trHeight w:val="525"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lang w:val="es-ES"/>
              </w:rPr>
              <w:t>Listado de productos adheridos</w:t>
            </w:r>
          </w:p>
        </w:tc>
      </w:tr>
      <w:tr>
        <w:trPr>
          <w:trHeight w:val="485" w:hRule="atLeast"/>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lang w:val="es-ES"/>
              </w:rPr>
            </w:pPr>
            <w:r>
              <w:rPr>
                <w:rFonts w:ascii="Trebuchet MS" w:hAnsi="Trebuchet MS"/>
                <w:lang w:val="es-ES"/>
              </w:rPr>
            </w:r>
          </w:p>
        </w:tc>
        <w:tc>
          <w:tcPr>
            <w:tcW w:w="7081" w:type="dxa"/>
            <w:tcBorders>
              <w:top w:val="single" w:sz="4" w:space="0" w:color="D9D9D9"/>
              <w:left w:val="single" w:sz="4" w:space="0" w:color="D9D9D9"/>
              <w:bottom w:val="single" w:sz="4" w:space="0" w:color="D9D9D9"/>
              <w:right w:val="single" w:sz="2" w:space="0" w:color="D9D9D9"/>
            </w:tcBorders>
            <w:shd w:fill="FFFFFF" w:val="clear"/>
            <w:vAlign w:val="center"/>
          </w:tcPr>
          <w:p>
            <w:pPr>
              <w:pStyle w:val="03Tableregular"/>
              <w:widowControl w:val="false"/>
              <w:suppressAutoHyphens w:val="true"/>
              <w:spacing w:before="320" w:after="320"/>
              <w:jc w:val="left"/>
              <w:rPr>
                <w:rFonts w:ascii="Trebuchet MS" w:hAnsi="Trebuchet MS" w:eastAsia="" w:cs=""/>
                <w:i/>
                <w:i/>
                <w:color w:val="808080" w:themeColor="background1" w:themeShade="80"/>
                <w:kern w:val="0"/>
                <w:sz w:val="18"/>
                <w:szCs w:val="18"/>
                <w:lang w:val="es-ES" w:eastAsia="en-US" w:bidi="ar-SA"/>
              </w:rPr>
            </w:pPr>
            <w:r>
              <w:rPr>
                <w:rFonts w:eastAsia="" w:cs=""/>
                <w:i/>
                <w:color w:val="808080" w:themeColor="background1" w:themeShade="80"/>
                <w:kern w:val="0"/>
                <w:sz w:val="18"/>
                <w:szCs w:val="18"/>
                <w:lang w:val="es-ES" w:eastAsia="en-US" w:bidi="ar-SA"/>
              </w:rPr>
            </w:r>
          </w:p>
        </w:tc>
      </w:tr>
      <w:tr>
        <w:trPr>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lang w:val="es-ES"/>
              </w:rPr>
            </w:pPr>
            <w:r>
              <w:rPr>
                <w:rFonts w:ascii="Trebuchet MS" w:hAnsi="Trebuchet MS"/>
                <w:lang w:val="es-ES"/>
              </w:rPr>
            </w:r>
          </w:p>
        </w:tc>
        <w:tc>
          <w:tcPr>
            <w:tcW w:w="7081" w:type="dxa"/>
            <w:tcBorders>
              <w:top w:val="nil"/>
              <w:left w:val="single" w:sz="4" w:space="0" w:color="D9D9D9"/>
              <w:bottom w:val="single" w:sz="4" w:space="0" w:color="D9D9D9"/>
              <w:right w:val="single" w:sz="2" w:space="0" w:color="D9D9D9"/>
            </w:tcBorders>
            <w:shd w:fill="FFFFFF" w:val="clear"/>
            <w:vAlign w:val="center"/>
          </w:tcPr>
          <w:p>
            <w:pPr>
              <w:pStyle w:val="03Tableregular"/>
              <w:widowControl w:val="false"/>
              <w:suppressAutoHyphens w:val="true"/>
              <w:spacing w:before="320" w:after="320"/>
              <w:jc w:val="left"/>
              <w:rPr>
                <w:rFonts w:ascii="Trebuchet MS" w:hAnsi="Trebuchet MS" w:eastAsia="" w:cs=""/>
                <w:i/>
                <w:i/>
                <w:color w:val="808080" w:themeColor="background1" w:themeShade="80"/>
                <w:kern w:val="0"/>
                <w:sz w:val="17"/>
                <w:szCs w:val="20"/>
                <w:lang w:val="es-ES" w:eastAsia="en-US" w:bidi="ar-SA"/>
              </w:rPr>
            </w:pPr>
            <w:r>
              <w:rPr>
                <w:rFonts w:eastAsia="" w:cs=""/>
                <w:i/>
                <w:color w:val="808080" w:themeColor="background1" w:themeShade="80"/>
                <w:kern w:val="0"/>
                <w:sz w:val="17"/>
                <w:szCs w:val="20"/>
                <w:lang w:val="es-ES" w:eastAsia="en-US" w:bidi="ar-SA"/>
              </w:rPr>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rFonts w:ascii="Trebuchet MS" w:hAnsi="Trebuchet MS"/>
          <w:lang w:val="es-ES"/>
        </w:rPr>
      </w:pPr>
      <w:r>
        <w:rPr>
          <w:lang w:val="es-ES"/>
        </w:rPr>
      </w:r>
    </w:p>
    <w:p>
      <w:pPr>
        <w:pStyle w:val="03Tableregular"/>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D15/ Es toman medidas contra el desperdicio de alimentos (solo si incluye servicio de bar o restaurante)</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toma medidas concretas contra el desperdicio de alimentos en caso de ofrecer servicio de restauración.</w:t>
            </w:r>
          </w:p>
        </w:tc>
      </w:tr>
      <w:tr>
        <w:trPr>
          <w:trHeight w:val="760"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les medidas aplicadas para evitar el desperdicio alimentario.</w:t>
            </w:r>
          </w:p>
        </w:tc>
      </w:tr>
      <w:tr>
        <w:trPr>
          <w:trHeight w:val="760" w:hRule="atLeast"/>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lang w:val="es-ES"/>
              </w:rPr>
            </w:pPr>
            <w:r>
              <w:rPr>
                <w:rFonts w:ascii="Trebuchet MS" w:hAnsi="Trebuchet MS"/>
                <w:lang w:val="es-ES"/>
              </w:rPr>
            </w:r>
          </w:p>
        </w:tc>
        <w:tc>
          <w:tcPr>
            <w:tcW w:w="7081" w:type="dxa"/>
            <w:tcBorders>
              <w:top w:val="nil"/>
              <w:left w:val="single" w:sz="4" w:space="0" w:color="D9D9D9"/>
              <w:bottom w:val="single" w:sz="4" w:space="0" w:color="D9D9D9"/>
              <w:right w:val="single" w:sz="2" w:space="0" w:color="D9D9D9"/>
            </w:tcBorders>
            <w:vAlign w:val="center"/>
          </w:tcPr>
          <w:p>
            <w:pPr>
              <w:pStyle w:val="04Openfields"/>
              <w:widowControl w:val="false"/>
              <w:suppressAutoHyphens w:val="true"/>
              <w:spacing w:before="80" w:after="80"/>
              <w:jc w:val="left"/>
              <w:rPr>
                <w:lang w:val="es-ES"/>
              </w:rPr>
            </w:pPr>
            <w:r>
              <w:rPr>
                <w:lang w:val="es-ES"/>
              </w:rPr>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D16/. Para el mantenimiento del jardín y entorno asociado, evita introducción de plantas exóticas y especies invasoras y/o prohibidas, se cuenta con las autorizaciones acreditativas para usar fitosanitarios y se gestionan las podas de forma sostenible (compostaje, puntos verdes...)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En los espacios ajardinados del espacio cultural se evitará el uso de plantas exóticas e invasoras y se realizará una gestión razonada de fitosanitarios y residuos.</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listado de especies y fotografías.</w:t>
            </w:r>
          </w:p>
          <w:p>
            <w:pPr>
              <w:pStyle w:val="03Tableregular"/>
              <w:widowControl w:val="false"/>
              <w:suppressAutoHyphens w:val="true"/>
              <w:spacing w:before="320" w:after="320"/>
              <w:jc w:val="left"/>
              <w:rPr>
                <w:lang w:val="es-ES"/>
              </w:rPr>
            </w:pPr>
            <w:r>
              <w:rPr>
                <w:rFonts w:eastAsia="" w:cs=""/>
                <w:kern w:val="0"/>
                <w:lang w:val="es-ES" w:eastAsia="en-US" w:bidi="ar-SA"/>
              </w:rPr>
              <w:t>Adjuntar documentación acreditativa de gestión de fitosanitarios</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lang w:val="es-ES"/>
        </w:rPr>
      </w:pPr>
      <w:r>
        <w:rPr>
          <w:rFonts w:eastAsia="" w:cs="MinionPro-Regular"/>
          <w:b/>
          <w:bCs/>
          <w:color w:val="00AFAA"/>
          <w:kern w:val="0"/>
          <w:sz w:val="22"/>
          <w:szCs w:val="22"/>
          <w:lang w:val="es-ES" w:eastAsia="en-US" w:bidi="ar-SA"/>
        </w:rPr>
        <w:t>E/ Mejoras para la maximización de los beneficios sociales y económicos para la comunidad local</w:t>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E17/. Promociona artistas y entidades con domicilio fiscal en la isla de Menorca.</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debe promocionar artistas y entidades con domicilio fiscal en Menorca</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programación temporadas anteriores señalando el cumplimiento del criterio, o en todo caso explicación de criterios de programación .</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E18/ Incluye la perspectiva de género  en cuanto a discurso, lenguaje y acciones que impliquen la no discriminación, corresponsabilidad, representatividad e igualdad de oportunidades, tanto de los actos de organización directo o indirecto a través de alquiler o cesión de la sala.</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entidad incluye la perspectiva de género.</w:t>
            </w:r>
          </w:p>
        </w:tc>
      </w:tr>
      <w:tr>
        <w:trPr>
          <w:trHeight w:val="760"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Texto explicativo de cómo se tienen en cuenta todos los aspectos del criterio</w:t>
            </w:r>
          </w:p>
        </w:tc>
      </w:tr>
      <w:tr>
        <w:trPr>
          <w:trHeight w:val="760" w:hRule="atLeast"/>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lang w:val="es-ES"/>
              </w:rPr>
            </w:pPr>
            <w:r>
              <w:rPr>
                <w:rFonts w:ascii="Trebuchet MS" w:hAnsi="Trebuchet MS"/>
                <w:lang w:val="es-ES"/>
              </w:rPr>
            </w:r>
          </w:p>
        </w:tc>
        <w:tc>
          <w:tcPr>
            <w:tcW w:w="7081" w:type="dxa"/>
            <w:tcBorders>
              <w:top w:val="nil"/>
              <w:left w:val="nil"/>
              <w:bottom w:val="nil"/>
              <w:right w:val="nil"/>
            </w:tcBorders>
            <w:tcMar>
              <w:top w:w="55" w:type="dxa"/>
              <w:bottom w:w="55" w:type="dxa"/>
            </w:tcM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E19/ Se implementa una política ética contra prácticas y discursos de odio, discriminación y explotación de personas (explotación comercial/sexual, acoso, abuso de grupos vulnerables…) para contribuir al respeto a la diversidad, la cohesión social, la igualdad, la libertad y la paz.</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cultura implementa criterios éticos y sociales</w:t>
            </w:r>
          </w:p>
        </w:tc>
      </w:tr>
      <w:tr>
        <w:trPr>
          <w:trHeight w:val="760"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Texto explicativo de cómo se tienen en cuenta todos los aspectos del criterio</w:t>
            </w:r>
          </w:p>
        </w:tc>
      </w:tr>
      <w:tr>
        <w:trPr>
          <w:trHeight w:val="760" w:hRule="atLeast"/>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lang w:val="es-ES"/>
              </w:rPr>
            </w:pPr>
            <w:r>
              <w:rPr>
                <w:rFonts w:ascii="Trebuchet MS" w:hAnsi="Trebuchet MS"/>
                <w:lang w:val="es-ES"/>
              </w:rPr>
            </w:r>
          </w:p>
        </w:tc>
        <w:tc>
          <w:tcPr>
            <w:tcW w:w="7081" w:type="dxa"/>
            <w:tcBorders>
              <w:top w:val="nil"/>
              <w:left w:val="single" w:sz="4" w:space="0" w:color="D9D9D9"/>
              <w:bottom w:val="single" w:sz="4" w:space="0" w:color="D9D9D9"/>
              <w:right w:val="single" w:sz="2" w:space="0" w:color="D9D9D9"/>
            </w:tcBorders>
            <w:vAlign w:val="center"/>
          </w:tcPr>
          <w:p>
            <w:pPr>
              <w:pStyle w:val="03Tableregular"/>
              <w:widowControl w:val="false"/>
              <w:suppressAutoHyphens w:val="true"/>
              <w:spacing w:before="320" w:after="320"/>
              <w:jc w:val="left"/>
              <w:rPr>
                <w:rFonts w:ascii="Trebuchet MS" w:hAnsi="Trebuchet MS"/>
                <w:lang w:val="es-ES"/>
              </w:rPr>
            </w:pPr>
            <w:r>
              <w:rPr>
                <w:lang w:val="es-ES"/>
              </w:rPr>
            </w:r>
          </w:p>
        </w:tc>
      </w:tr>
      <w:tr>
        <w:trPr>
          <w:trHeight w:val="103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3Tableregular"/>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E20/ Toda la información de la página web debe estar como mínimo en las dos lenguas cooficiales de Menorca.</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debe ofrecer la información como mínimo en las dos lenguas cooficiales.</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enlace o copia de los portales informativos y redes sociales del espacio cultural.</w:t>
            </w:r>
          </w:p>
          <w:p>
            <w:pPr>
              <w:pStyle w:val="03Tableregular"/>
              <w:widowControl w:val="false"/>
              <w:suppressAutoHyphens w:val="true"/>
              <w:spacing w:before="320" w:after="320"/>
              <w:jc w:val="left"/>
              <w:rPr>
                <w:rFonts w:ascii="Trebuchet MS" w:hAnsi="Trebuchet MS"/>
                <w:lang w:val="es-ES"/>
              </w:rPr>
            </w:pPr>
            <w:r>
              <w:rPr>
                <w:lang w:val="es-ES"/>
              </w:rPr>
            </w:r>
          </w:p>
        </w:tc>
      </w:tr>
      <w:tr>
        <w:trPr>
          <w:trHeight w:val="109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Normal"/>
        <w:spacing w:lineRule="auto" w:line="276"/>
        <w:rPr>
          <w:lang w:val="es-ES"/>
        </w:rPr>
      </w:pPr>
      <w:r>
        <w:rPr>
          <w:lang w:val="es-ES"/>
        </w:rPr>
      </w:r>
    </w:p>
    <w:p>
      <w:pPr>
        <w:pStyle w:val="Normal"/>
        <w:spacing w:lineRule="auto" w:line="276"/>
        <w:rPr>
          <w:lang w:val="es-ES"/>
        </w:rPr>
      </w:pPr>
      <w:r>
        <w:rPr>
          <w:lang w:val="es-ES"/>
        </w:rPr>
      </w:r>
    </w:p>
    <w:p>
      <w:pPr>
        <w:pStyle w:val="Normal"/>
        <w:spacing w:lineRule="auto" w:line="276"/>
        <w:rPr>
          <w:lang w:val="es-ES"/>
        </w:rPr>
      </w:pPr>
      <w:r>
        <w:rPr>
          <w:rFonts w:ascii="Trebuchet MS" w:hAnsi="Trebuchet MS"/>
          <w:color w:val="153646"/>
          <w:lang w:val="es-ES"/>
        </w:rPr>
        <w:t xml:space="preserve">Para poder solicitar inicialmente el uso de la marca y el logotipo </w:t>
      </w:r>
      <w:r>
        <w:rPr>
          <w:rFonts w:ascii="Trebuchet MS" w:hAnsi="Trebuchet MS"/>
          <w:b/>
          <w:color w:val="00AFAA"/>
          <w:lang w:val="es-ES"/>
        </w:rPr>
        <w:t>“Menorca Reserva de Biosfera”</w:t>
      </w:r>
      <w:r>
        <w:rPr>
          <w:rFonts w:ascii="Trebuchet MS" w:hAnsi="Trebuchet MS"/>
          <w:color w:val="153646"/>
          <w:lang w:val="es-ES"/>
        </w:rPr>
        <w:t>, la empresa  debe cumplir 4</w:t>
      </w:r>
      <w:r>
        <w:rPr>
          <w:rFonts w:ascii="Trebuchet MS" w:hAnsi="Trebuchet MS"/>
          <w:b/>
          <w:color w:val="153646"/>
          <w:lang w:val="es-ES"/>
        </w:rPr>
        <w:t xml:space="preserve"> de los requisitos recomendables (30%)</w:t>
      </w:r>
      <w:r>
        <w:rPr>
          <w:rFonts w:ascii="Trebuchet MS" w:hAnsi="Trebuchet MS"/>
          <w:color w:val="153646"/>
          <w:lang w:val="es-ES"/>
        </w:rPr>
        <w:t xml:space="preserve">, además de comprometerse como mínimo a llegar a cumplir </w:t>
      </w:r>
      <w:r>
        <w:rPr>
          <w:rFonts w:ascii="Trebuchet MS" w:hAnsi="Trebuchet MS"/>
          <w:b/>
          <w:bCs/>
          <w:color w:val="153646"/>
          <w:lang w:val="es-ES"/>
        </w:rPr>
        <w:t>hasta 7 (50%) del total de requisitos recomendables</w:t>
      </w:r>
      <w:r>
        <w:rPr>
          <w:rFonts w:ascii="Trebuchet MS" w:hAnsi="Trebuchet MS"/>
          <w:color w:val="153646"/>
          <w:lang w:val="es-ES"/>
        </w:rPr>
        <w:t xml:space="preserve"> durante los 3 próximos años.</w:t>
      </w:r>
    </w:p>
    <w:p>
      <w:pPr>
        <w:pStyle w:val="Normal"/>
        <w:spacing w:lineRule="auto" w:line="276"/>
        <w:rPr>
          <w:rFonts w:ascii="Trebuchet MS" w:hAnsi="Trebuchet MS"/>
          <w:color w:val="002B49"/>
          <w:lang w:val="es-ES"/>
        </w:rPr>
      </w:pPr>
      <w:r>
        <w:rPr>
          <w:rFonts w:ascii="Trebuchet MS" w:hAnsi="Trebuchet MS"/>
          <w:color w:val="002B49"/>
          <w:lang w:val="es-ES"/>
        </w:rPr>
      </w:r>
    </w:p>
    <w:p>
      <w:pPr>
        <w:pStyle w:val="Normal"/>
        <w:rPr>
          <w:lang w:val="es-ES"/>
        </w:rPr>
      </w:pPr>
      <w:r>
        <w:rPr>
          <w:lang w:val="es-ES"/>
        </w:rPr>
      </w:r>
    </w:p>
    <w:p>
      <w:pPr>
        <w:pStyle w:val="Normal"/>
        <w:rPr>
          <w:lang w:val="es-ES"/>
        </w:rPr>
      </w:pPr>
      <w:r>
        <w:rPr>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Trebuchet MS" w:hAnsi="Trebuchet MS"/>
          <w:color w:val="002B49"/>
          <w:sz w:val="18"/>
          <w:szCs w:val="18"/>
          <w:lang w:val="es-ES"/>
        </w:rPr>
      </w:pPr>
      <w:r>
        <w:rPr>
          <w:rFonts w:ascii="Trebuchet MS" w:hAnsi="Trebuchet MS"/>
          <w:color w:val="002B49"/>
          <w:sz w:val="18"/>
          <w:szCs w:val="18"/>
          <w:lang w:val="es-ES"/>
        </w:rPr>
      </w:r>
    </w:p>
    <w:p>
      <w:pPr>
        <w:pStyle w:val="Standard"/>
        <w:spacing w:lineRule="auto" w:line="276"/>
        <w:rPr>
          <w:rFonts w:ascii="Trebuchet MS" w:hAnsi="Trebuchet MS"/>
          <w:color w:val="002B49"/>
          <w:sz w:val="18"/>
          <w:szCs w:val="18"/>
          <w:lang w:val="es-ES"/>
        </w:rPr>
      </w:pPr>
      <w:r>
        <w:rPr>
          <w:rFonts w:ascii="Trebuchet MS" w:hAnsi="Trebuchet MS"/>
          <w:color w:val="002B49"/>
          <w:sz w:val="18"/>
          <w:szCs w:val="18"/>
          <w:lang w:val="es-ES"/>
        </w:rPr>
      </w:r>
    </w:p>
    <w:p>
      <w:pPr>
        <w:pStyle w:val="06Subtitles"/>
        <w:rPr>
          <w:lang w:val="es-ES"/>
        </w:rPr>
      </w:pPr>
      <w:r>
        <w:rPr>
          <w:lang w:val="es-ES"/>
        </w:rPr>
        <w:t>F / Sensibilización u educación para la sostenibilidad</w:t>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 xml:space="preserve">F21/ </w:t>
            </w:r>
            <w:r>
              <w:rPr>
                <w:rFonts w:eastAsia="" w:cs="Trebuchet MS"/>
                <w:kern w:val="0"/>
                <w:lang w:val="es-ES" w:eastAsia="en-US" w:bidi="ar-SA"/>
              </w:rPr>
              <w:t>Realiza, promueve o participa en acciones de comunicación (campañas, talleres y charlas) para sensibilizar a la población local sobre problemáticas relacionadas con la sostenibilidad local y global.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colabora en acciones de comunicación para la sostenibilidad.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criterios generales y acciones concretas que permitan comprobar el cumplimiento del requisito.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ascii="Trebuchet MS" w:hAnsi="Trebuchet MS"/>
                <w:i/>
                <w:i/>
                <w:color w:val="808080" w:themeColor="background1" w:themeShade="80"/>
                <w:lang w:val="es-ES"/>
              </w:rPr>
            </w:pPr>
            <w:r>
              <w:rPr>
                <w:rFonts w:ascii="Trebuchet MS" w:hAnsi="Trebuchet MS"/>
                <w:i/>
                <w:color w:val="808080" w:themeColor="background1" w:themeShade="80"/>
                <w:lang w:val="es-ES"/>
              </w:rPr>
            </w:r>
          </w:p>
        </w:tc>
      </w:tr>
    </w:tbl>
    <w:p>
      <w:pPr>
        <w:pStyle w:val="Normal"/>
        <w:rPr>
          <w:rFonts w:ascii="Trebuchet MS" w:hAnsi="Trebuchet MS"/>
          <w:lang w:val="es-ES"/>
        </w:rPr>
      </w:pPr>
      <w:r>
        <w:rPr>
          <w:rFonts w:ascii="Trebuchet MS" w:hAnsi="Trebuchet MS"/>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F22 / Participa, promueve o participa en acciones de conservación del patrimonio natural y cultural de la isla, tanto material como inmaterial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colabora en la conservación del patrimonio cultural material e inmaterial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criterios generales y acciones concretas que permitan comprobar el cumplimiento del requisito.</w:t>
            </w:r>
          </w:p>
        </w:tc>
      </w:tr>
      <w:tr>
        <w:trPr>
          <w:trHeight w:val="1529"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Texto explicativo</w:t>
            </w:r>
          </w:p>
        </w:tc>
      </w:tr>
    </w:tbl>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F23 /Dispone de un sistema para calcular su huella de carbono en los actos que realiza y toma medidas para reducirla.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dispone de un sistema para calcular su huella de carbono de los actos que realiza  y toma medidas para reducirla.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1205"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lang w:val="es-ES"/>
              </w:rPr>
              <w:t>Explicación del funcionamiento del sistema</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Texto explicativo</w:t>
            </w:r>
          </w:p>
        </w:tc>
      </w:tr>
    </w:tbl>
    <w:p>
      <w:pPr>
        <w:pStyle w:val="Normal"/>
        <w:rPr>
          <w:rFonts w:ascii="Trebuchet MS" w:hAnsi="Trebuchet MS"/>
          <w:lang w:val="es-ES"/>
        </w:rPr>
      </w:pPr>
      <w:r>
        <w:rPr>
          <w:rFonts w:ascii="Trebuchet MS" w:hAnsi="Trebuchet MS"/>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F24 / Utiliza sistemas de alta eficiencia energética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utiliza sistemas de alta eficiencia energética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1205"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lang w:val="es-ES"/>
              </w:rPr>
              <w:t xml:space="preserve">Explicación del funcionamiento de los sistemas de alta </w:t>
            </w:r>
            <w:r>
              <w:rPr>
                <w:rFonts w:eastAsia="" w:cs=""/>
                <w:kern w:val="0"/>
                <w:lang w:val="es-ES" w:eastAsia="en-US" w:bidi="ar-SA"/>
              </w:rPr>
              <w:t>eficiencia energética</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color w:val="808080" w:themeColor="background1" w:themeShade="80"/>
                <w:lang w:val="es-ES"/>
              </w:rPr>
            </w:pPr>
            <w:r>
              <w:rPr>
                <w:rFonts w:ascii="Trebuchet MS" w:hAnsi="Trebuchet MS"/>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Texto explicativo</w:t>
            </w:r>
          </w:p>
        </w:tc>
      </w:tr>
    </w:tbl>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F25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p>
            <w:pPr>
              <w:pStyle w:val="Tablebold"/>
              <w:widowControl w:val="false"/>
              <w:suppressAutoHyphens w:val="true"/>
              <w:spacing w:before="80" w:after="80"/>
              <w:jc w:val="left"/>
              <w:rPr>
                <w:rFonts w:ascii="Trebuchet MS" w:hAnsi="Trebuchet MS"/>
                <w:lang w:val="es-ES"/>
              </w:rPr>
            </w:pPr>
            <w:r>
              <w:rPr>
                <w:rFonts w:ascii="Trebuchet MS" w:hAnsi="Trebuchet MS"/>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referencia o copia de la información referida.</w:t>
            </w:r>
          </w:p>
        </w:tc>
      </w:tr>
      <w:tr>
        <w:trPr>
          <w:trHeight w:val="710"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ascii="Trebuchet MS" w:hAnsi="Trebuchet MS"/>
                <w:lang w:val="es-ES"/>
              </w:rPr>
            </w:pPr>
            <w:r>
              <w:rPr>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ascii="Trebuchet MS" w:hAnsi="Trebuchet MS"/>
                <w:lang w:val="es-ES"/>
              </w:rPr>
            </w:pPr>
            <w:r>
              <w:rPr>
                <w:lang w:val="es-ES"/>
              </w:rPr>
            </w:r>
          </w:p>
        </w:tc>
      </w:tr>
    </w:tbl>
    <w:p>
      <w:pPr>
        <w:pStyle w:val="06Subtitles"/>
        <w:rPr>
          <w:rFonts w:ascii="Trebuchet MS" w:hAnsi="Trebuchet MS"/>
          <w:lang w:val="es-ES"/>
        </w:rPr>
      </w:pPr>
      <w:r>
        <w:rPr>
          <w:lang w:val="es-ES"/>
        </w:rPr>
      </w:r>
    </w:p>
    <w:p>
      <w:pPr>
        <w:pStyle w:val="Normal"/>
        <w:rPr>
          <w:lang w:val="es-ES"/>
        </w:rPr>
      </w:pPr>
      <w:r>
        <w:rPr>
          <w:rFonts w:eastAsia="" w:cs="MinionPro-Regular" w:ascii="Trebuchet MS" w:hAnsi="Trebuchet MS"/>
          <w:b/>
          <w:bCs/>
          <w:color w:val="00AFAA"/>
          <w:kern w:val="0"/>
          <w:sz w:val="22"/>
          <w:szCs w:val="22"/>
          <w:lang w:val="es-ES" w:eastAsia="en-US" w:bidi="ar-SA"/>
        </w:rPr>
        <w:t>H/ Accesibilidad sostenible</w:t>
      </w:r>
    </w:p>
    <w:p>
      <w:pPr>
        <w:pStyle w:val="Normal"/>
        <w:rPr>
          <w:rFonts w:ascii="Trebuchet MS" w:hAnsi="Trebuchet MS" w:eastAsia="" w:cs="MinionPro-Regular"/>
          <w:b/>
          <w:bCs/>
          <w:color w:val="00AFAA"/>
          <w:kern w:val="0"/>
          <w:sz w:val="22"/>
          <w:szCs w:val="22"/>
          <w:lang w:val="es-ES" w:eastAsia="en-US" w:bidi="ar-SA"/>
        </w:rPr>
      </w:pPr>
      <w:r>
        <w:rPr>
          <w:rFonts w:eastAsia="" w:cs="MinionPro-Regular" w:ascii="Trebuchet MS" w:hAnsi="Trebuchet MS"/>
          <w:b/>
          <w:bCs/>
          <w:color w:val="00AFAA"/>
          <w:kern w:val="0"/>
          <w:sz w:val="22"/>
          <w:szCs w:val="22"/>
          <w:lang w:val="es-ES" w:eastAsia="en-US" w:bidi="ar-SA"/>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H26 / Promueve y diseña planes de movilidad para minimizar desplazamientos en las actividades que se organicen y/o facilita el acceso a vehículos comunitarios y sostenibles.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trabaja con criterios para mejorar la movilidad general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p>
            <w:pPr>
              <w:pStyle w:val="Tablebold"/>
              <w:widowControl w:val="false"/>
              <w:suppressAutoHyphens w:val="true"/>
              <w:spacing w:before="80" w:after="80"/>
              <w:jc w:val="left"/>
              <w:rPr>
                <w:rFonts w:ascii="Trebuchet MS" w:hAnsi="Trebuchet MS"/>
                <w:lang w:val="es-ES"/>
              </w:rPr>
            </w:pPr>
            <w:r>
              <w:rPr>
                <w:rFonts w:ascii="Trebuchet MS" w:hAnsi="Trebuchet MS"/>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Especificar criterios generales y medidas concretas para el cumplimiento del objetivo</w:t>
            </w:r>
          </w:p>
        </w:tc>
      </w:tr>
      <w:tr>
        <w:trPr>
          <w:trHeight w:val="710"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ascii="Trebuchet MS" w:hAnsi="Trebuchet MS"/>
                <w:lang w:val="es-ES"/>
              </w:rPr>
            </w:pPr>
            <w:r>
              <w:rPr>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ascii="Trebuchet MS" w:hAnsi="Trebuchet MS"/>
                <w:lang w:val="es-ES"/>
              </w:rPr>
            </w:pPr>
            <w:r>
              <w:rPr>
                <w:lang w:val="es-ES"/>
              </w:rPr>
            </w:r>
          </w:p>
        </w:tc>
      </w:tr>
    </w:tbl>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H27 / Realiza medidas para facilitar la accesibilidad universal para todos los usuarios (auditiva, visual, sensorial…)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realiza medidas para facilitar la accesibilidad universal para todos los usuarios.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251"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lang w:val="es-ES"/>
              </w:rPr>
              <w:t>Indicar qué medidas se realizan.</w:t>
            </w:r>
          </w:p>
        </w:tc>
      </w:tr>
      <w:tr>
        <w:trPr>
          <w:trHeight w:val="251"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ascii="Trebuchet MS" w:hAnsi="Trebuchet MS"/>
                <w:lang w:val="es-ES"/>
              </w:rPr>
            </w:pPr>
            <w:r>
              <w:rPr>
                <w:lang w:val="es-ES"/>
              </w:rPr>
            </w:r>
          </w:p>
        </w:tc>
        <w:tc>
          <w:tcPr>
            <w:tcW w:w="7081" w:type="dxa"/>
            <w:tcBorders>
              <w:top w:val="nil"/>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06Subtitles"/>
        <w:rPr>
          <w:lang w:val="es-ES"/>
        </w:rPr>
      </w:pPr>
      <w:r>
        <w:rPr>
          <w:lang w:val="es-ES"/>
        </w:rPr>
      </w:r>
    </w:p>
    <w:p>
      <w:pPr>
        <w:pStyle w:val="06Subtitles"/>
        <w:rPr>
          <w:lang w:val="es-ES"/>
        </w:rPr>
      </w:pPr>
      <w:r>
        <w:rPr>
          <w:lang w:val="es-ES"/>
        </w:rPr>
        <w:t>I/ Apoyo al desarrollo local</w:t>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I28 / Facilita el acceso de los actos organizados a los sectores de población con recursos limitados.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trabaja para la inclusión de todos los sectores de la población.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26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qué medidas se realizan</w:t>
            </w:r>
          </w:p>
        </w:tc>
      </w:tr>
      <w:tr>
        <w:trPr>
          <w:trHeight w:val="269"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ascii="Trebuchet MS" w:hAnsi="Trebuchet MS"/>
                <w:lang w:val="es-ES"/>
              </w:rPr>
            </w:pPr>
            <w:r>
              <w:rPr>
                <w:lang w:val="es-ES"/>
              </w:rPr>
            </w:r>
          </w:p>
        </w:tc>
        <w:tc>
          <w:tcPr>
            <w:tcW w:w="7081" w:type="dxa"/>
            <w:tcBorders>
              <w:top w:val="nil"/>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Head1"/>
        <w:keepNext w:val="true"/>
        <w:keepLines/>
        <w:rPr>
          <w:rFonts w:ascii="Trebuchet MS" w:hAnsi="Trebuchet MS"/>
          <w:color w:val="00AFAA"/>
          <w:sz w:val="24"/>
          <w:szCs w:val="24"/>
          <w:lang w:val="es-ES"/>
        </w:rPr>
      </w:pPr>
      <w:r>
        <w:rPr>
          <w:rFonts w:ascii="Trebuchet MS" w:hAnsi="Trebuchet MS"/>
          <w:color w:val="00AFAA"/>
          <w:sz w:val="24"/>
          <w:szCs w:val="24"/>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I29 / Promueve la colaboración, el intercambio y las sinergias entre establecimientos culturales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colabora de forma sinérgica con otros espacios culturales de la isla.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3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I30 / En su programación incluye actividades para promover la diversidad cultural.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incluye en su programación actividades que promueven la diversidad cultural.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I31 /Realiza programaciones integradas dentro de el marco de programas de ámbito insular.</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realiza programaciones en un marco de ámbito insular.</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I32 / Se potencia la programación de eventos culturales fuera de la temporada turística alta, es decir, durante los meses de noviembre al mes de abril.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programa actividades fuera de la temporada alta.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I33 / Colabora con entidades ciudadanas de la localidad i treballa para la formación de públicos.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trabaja en la formación de públicos.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I34 / Ofrece programas de formación para los trabajadores en términos de sostenibilidad.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El espacio ofrece programas de formación para los trabajadores en términos de sostenibilidad.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ascii="Trebuchet MS" w:hAnsi="Trebuchet MS"/>
                <w:lang w:val="es-ES"/>
              </w:rPr>
            </w:pPr>
            <w:r>
              <w:rPr>
                <w:lang w:val="es-ES"/>
              </w:rPr>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rFonts w:cs="" w:cstheme="minorBidi"/>
          <w:b w:val="false"/>
          <w:bCs w:val="false"/>
          <w:color w:val="153646"/>
          <w:sz w:val="20"/>
          <w:szCs w:val="20"/>
          <w:lang w:val="es-ES"/>
        </w:rPr>
        <w:t xml:space="preserve">Una vez concedido el uso de la marca y el logotipo </w:t>
      </w:r>
      <w:r>
        <w:rPr>
          <w:lang w:val="es-ES"/>
        </w:rPr>
        <w:t>“Menorca Reserva de Biosfera”</w:t>
      </w:r>
      <w:r>
        <w:rPr>
          <w:rFonts w:cs="" w:cstheme="minorBidi"/>
          <w:b w:val="false"/>
          <w:bCs w:val="false"/>
          <w:color w:val="153646"/>
          <w:sz w:val="20"/>
          <w:szCs w:val="20"/>
          <w:lang w:val="es-ES"/>
        </w:rPr>
        <w:t>, la empresa acepta comprometerse a cumplir los compromisos sobre la promoción de la imagen de la marca:</w:t>
      </w:r>
    </w:p>
    <w:p>
      <w:pPr>
        <w:pStyle w:val="06Subtitles"/>
        <w:rPr>
          <w:rFonts w:ascii="Trebuchet MS" w:hAnsi="Trebuchet MS"/>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N2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lang w:val="es-ES"/>
              </w:rPr>
            </w:pPr>
            <w:r>
              <w:rPr>
                <w:rFonts w:eastAsia="" w:cs="" w:ascii="Trebuchet MS" w:hAnsi="Trebuchet MS"/>
                <w:kern w:val="0"/>
                <w:sz w:val="20"/>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N5/ Asistir a les Jornadas formativas que de forma específica para los usuarios de la Marca organice la Agencia Menorca Reserva de Biosfera.</w:t>
            </w:r>
          </w:p>
        </w:tc>
      </w:tr>
    </w:tbl>
    <w:p>
      <w:pPr>
        <w:pStyle w:val="06Subtitles"/>
        <w:rPr>
          <w:rFonts w:ascii="Trebuchet MS" w:hAnsi="Trebuchet MS"/>
          <w:lang w:val="es-ES"/>
        </w:rPr>
      </w:pPr>
      <w:r>
        <w:rPr>
          <w:lang w:val="es-ES"/>
        </w:rPr>
      </w:r>
    </w:p>
    <w:p>
      <w:pPr>
        <w:pStyle w:val="03Tableregular"/>
        <w:rPr>
          <w:rFonts w:ascii="Trebuchet MS" w:hAnsi="Trebuchet MS"/>
          <w:lang w:val="es-ES"/>
        </w:rPr>
      </w:pPr>
      <w:r>
        <w:rPr>
          <w:lang w:val="es-ES"/>
        </w:rPr>
      </w:r>
    </w:p>
    <w:p>
      <w:pPr>
        <w:pStyle w:val="03Tableregular"/>
        <w:rPr>
          <w:rFonts w:ascii="Trebuchet MS" w:hAnsi="Trebuchet MS"/>
          <w:lang w:val="es-ES"/>
        </w:rPr>
      </w:pPr>
      <w:r>
        <w:rPr>
          <w:lang w:val="es-ES"/>
        </w:rPr>
      </w:r>
    </w:p>
    <w:p>
      <w:pPr>
        <w:pStyle w:val="03Tableregular"/>
        <w:spacing w:before="320" w:after="320"/>
        <w:rPr>
          <w:rFonts w:ascii="Trebuchet MS" w:hAnsi="Trebuchet MS"/>
          <w:lang w:val="es-ES"/>
        </w:rPr>
      </w:pPr>
      <w:r>
        <w:rPr>
          <w:lang w:val="es-ES"/>
        </w:rPr>
      </w:r>
    </w:p>
    <w:sectPr>
      <w:headerReference w:type="default" r:id="rId4"/>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34">
              <wp:simplePos x="0" y="0"/>
              <wp:positionH relativeFrom="column">
                <wp:posOffset>5456555</wp:posOffset>
              </wp:positionH>
              <wp:positionV relativeFrom="paragraph">
                <wp:posOffset>-177800</wp:posOffset>
              </wp:positionV>
              <wp:extent cx="298450" cy="361315"/>
              <wp:effectExtent l="0" t="0" r="0" b="0"/>
              <wp:wrapNone/>
              <wp:docPr id="1" name="Marc1"/>
              <a:graphic xmlns:a="http://schemas.openxmlformats.org/drawingml/2006/main">
                <a:graphicData uri="http://schemas.microsoft.com/office/word/2010/wordprocessingShape">
                  <wps:wsp>
                    <wps:cNvSpPr/>
                    <wps:spPr>
                      <a:xfrm>
                        <a:off x="0" y="0"/>
                        <a:ext cx="298440" cy="36144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1" path="m0,0l-2147483645,0l-2147483645,-2147483646l0,-2147483646xe" stroked="f" o:allowincell="f" style="position:absolute;margin-left:429.65pt;margin-top:-14pt;width:23.45pt;height:28.4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68">
              <wp:simplePos x="0" y="0"/>
              <wp:positionH relativeFrom="column">
                <wp:posOffset>5798185</wp:posOffset>
              </wp:positionH>
              <wp:positionV relativeFrom="paragraph">
                <wp:posOffset>-222250</wp:posOffset>
              </wp:positionV>
              <wp:extent cx="742950" cy="755650"/>
              <wp:effectExtent l="0" t="0" r="0" b="0"/>
              <wp:wrapNone/>
              <wp:docPr id="2" name="Marc3"/>
              <a:graphic xmlns:a="http://schemas.openxmlformats.org/drawingml/2006/main">
                <a:graphicData uri="http://schemas.microsoft.com/office/word/2010/wordprocessingShape">
                  <wps:wsp>
                    <wps:cNvSpPr/>
                    <wps:spPr>
                      <a:xfrm>
                        <a:off x="0" y="0"/>
                        <a:ext cx="743040" cy="75564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4"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3" path="m0,0l-2147483645,0l-2147483645,-2147483646l0,-2147483646xe" stroked="f" o:allowincell="f" style="position:absolute;margin-left:456.55pt;margin-top:-17.5pt;width:58.45pt;height:59.45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1760" distR="114300" simplePos="0" locked="0" layoutInCell="0" allowOverlap="1" relativeHeight="119">
              <wp:simplePos x="0" y="0"/>
              <wp:positionH relativeFrom="column">
                <wp:posOffset>-29210</wp:posOffset>
              </wp:positionH>
              <wp:positionV relativeFrom="paragraph">
                <wp:posOffset>-102235</wp:posOffset>
              </wp:positionV>
              <wp:extent cx="4801870" cy="460375"/>
              <wp:effectExtent l="0" t="0" r="0" b="0"/>
              <wp:wrapSquare wrapText="bothSides"/>
              <wp:docPr id="3" name="Marc2"/>
              <a:graphic xmlns:a="http://schemas.openxmlformats.org/drawingml/2006/main">
                <a:graphicData uri="http://schemas.microsoft.com/office/word/2010/wordprocessingShape">
                  <wps:wsp>
                    <wps:cNvSpPr/>
                    <wps:spPr>
                      <a:xfrm>
                        <a:off x="0" y="0"/>
                        <a:ext cx="4802040" cy="460440"/>
                      </a:xfrm>
                      <a:prstGeom prst="rect">
                        <a:avLst/>
                      </a:prstGeom>
                      <a:noFill/>
                      <a:ln w="0">
                        <a:noFill/>
                      </a:ln>
                    </wps:spPr>
                    <wps:style>
                      <a:lnRef idx="0"/>
                      <a:fillRef idx="0"/>
                      <a:effectRef idx="0"/>
                      <a:fontRef idx="minor"/>
                    </wps:style>
                    <wps:txb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2" path="m0,0l-2147483645,0l-2147483645,-2147483646l0,-2147483646xe" stroked="f" o:allowincell="f" style="position:absolute;margin-left:-2.3pt;margin-top:-8.05pt;width:378.05pt;height:36.2pt;mso-wrap-style:square;v-text-anchor:top">
              <v:fill o:detectmouseclick="t" on="false"/>
              <v:stroke color="#3465a4" joinstyle="round" endcap="flat"/>
              <v:textbo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spacing w:before="40" w:after="80"/>
      <w:rPr/>
    </w:pPr>
    <w:r>
      <w:rPr/>
      <mc:AlternateContent>
        <mc:Choice Requires="wps">
          <w:drawing>
            <wp:anchor behindDoc="1" distT="3175" distB="3175" distL="0" distR="0" simplePos="0" locked="0" layoutInCell="1" allowOverlap="1" relativeHeight="86">
              <wp:simplePos x="0" y="0"/>
              <wp:positionH relativeFrom="column">
                <wp:posOffset>0</wp:posOffset>
              </wp:positionH>
              <wp:positionV relativeFrom="paragraph">
                <wp:posOffset>144145</wp:posOffset>
              </wp:positionV>
              <wp:extent cx="6515735" cy="635"/>
              <wp:effectExtent l="0" t="3175" r="0" b="3175"/>
              <wp:wrapNone/>
              <wp:docPr id="4" name="Straight Connector 11"/>
              <a:graphic xmlns:a="http://schemas.openxmlformats.org/drawingml/2006/main">
                <a:graphicData uri="http://schemas.microsoft.com/office/word/2010/wordprocessingShape">
                  <wps:wsp>
                    <wps:cNvSpPr/>
                    <wps:spPr>
                      <a:xfrm>
                        <a:off x="0" y="0"/>
                        <a:ext cx="651564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5pt" to="513pt,11.35pt" ID="Straight Connector 11" stroked="t" o:allowincell="f" style="position:absolute">
              <v:stroke color="#d9d9d9" weight="64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name w:val="Hyperlink"/>
    <w:basedOn w:val="DefaultParagraphFont"/>
    <w:uiPriority w:val="99"/>
    <w:unhideWhenUsed/>
    <w:rsid w:val="00706ec5"/>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cf7e05"/>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rsid w:val="008973bd"/>
    <w:pPr>
      <w:spacing w:lineRule="auto" w:line="276" w:before="0" w:after="140"/>
    </w:pPr>
    <w:rPr/>
  </w:style>
  <w:style w:type="paragraph" w:styleId="Lista">
    <w:name w:val="List"/>
    <w:basedOn w:val="Cuerpodetexto"/>
    <w:rsid w:val="008973bd"/>
    <w:pPr/>
    <w:rPr>
      <w:rFonts w:cs="Lucida Sans"/>
    </w:rPr>
  </w:style>
  <w:style w:type="paragraph" w:styleId="Leyenda" w:customStyle="1">
    <w:name w:val="Caption"/>
    <w:basedOn w:val="Normal"/>
    <w:qFormat/>
    <w:rsid w:val="008973bd"/>
    <w:pPr>
      <w:suppressLineNumbers/>
      <w:spacing w:before="120" w:after="120"/>
    </w:pPr>
    <w:rPr>
      <w:rFonts w:cs="Lucida Sans"/>
      <w:i/>
      <w:iCs/>
      <w:sz w:val="24"/>
      <w:szCs w:val="24"/>
    </w:rPr>
  </w:style>
  <w:style w:type="paragraph" w:styleId="Ndice" w:customStyle="1">
    <w:name w:val="Índice"/>
    <w:basedOn w:val="Normal"/>
    <w:qFormat/>
    <w:rsid w:val="008973bd"/>
    <w:pPr>
      <w:suppressLineNumbers/>
    </w:pPr>
    <w:rPr>
      <w:rFonts w:cs="Lucida Sans"/>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Ttulogeneral">
    <w:name w:val="Title"/>
    <w:basedOn w:val="Normal"/>
    <w:next w:val="Cuerpodetexto"/>
    <w:qFormat/>
    <w:rsid w:val="008973bd"/>
    <w:pPr>
      <w:keepNext w:val="true"/>
      <w:spacing w:before="240" w:after="120"/>
    </w:pPr>
    <w:rPr>
      <w:rFonts w:ascii="Liberation Sans" w:hAnsi="Liberation Sans" w:eastAsia="Microsoft YaHei" w:cs="Lucida Sans"/>
      <w:sz w:val="28"/>
      <w:szCs w:val="28"/>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bd4316"/>
    <w:pPr>
      <w:spacing w:before="120" w:after="120"/>
    </w:pPr>
    <w:rPr>
      <w:i/>
      <w:sz w:val="17"/>
      <w:szCs w:val="17"/>
    </w:rPr>
  </w:style>
  <w:style w:type="paragraph" w:styleId="Contenidodelmarco" w:customStyle="1">
    <w:name w:val="Contenido del marco"/>
    <w:basedOn w:val="Normal"/>
    <w:qFormat/>
    <w:rsid w:val="008973bd"/>
    <w:pPr/>
    <w:rPr/>
  </w:style>
  <w:style w:type="paragraph" w:styleId="BalloonText">
    <w:name w:val="Balloon Text"/>
    <w:basedOn w:val="Normal"/>
    <w:link w:val="TextodegloboCar"/>
    <w:uiPriority w:val="99"/>
    <w:semiHidden/>
    <w:unhideWhenUsed/>
    <w:qFormat/>
    <w:rsid w:val="00cf7e05"/>
    <w:pPr>
      <w:spacing w:before="0" w:after="0"/>
    </w:pPr>
    <w:rPr>
      <w:rFonts w:ascii="Tahoma" w:hAnsi="Tahoma" w:cs="Tahoma"/>
      <w:sz w:val="16"/>
      <w:szCs w:val="16"/>
    </w:rPr>
  </w:style>
  <w:style w:type="paragraph" w:styleId="Contingutdelmarc">
    <w:name w:val="Contingut del marc"/>
    <w:basedOn w:val="Normal"/>
    <w:qFormat/>
    <w:pPr/>
    <w:rPr/>
  </w:style>
  <w:style w:type="paragraph" w:styleId="Contingutdelataula">
    <w:name w:val="Contingut de la taula"/>
    <w:basedOn w:val="Normal"/>
    <w:qFormat/>
    <w:pPr>
      <w:widowControl w:val="false"/>
      <w:suppressLineNumbers/>
    </w:pPr>
    <w:rPr/>
  </w:style>
  <w:style w:type="paragraph" w:styleId="Encapalamentdelataula">
    <w:name w:val="Encapçalament de la taula"/>
    <w:basedOn w:val="Contingutdelataula"/>
    <w:qFormat/>
    <w:pPr>
      <w:suppressLineNumbers/>
      <w:jc w:val="center"/>
    </w:pPr>
    <w:rPr>
      <w:b/>
      <w:bCs/>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yperlink" Target="http://www.menorcabiosfera.org/Contingut.aspx?IdPub=3124"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232D-2B73-BC4D-9A27-21933707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Application>LibreOffice/7.5.7.1$Windows_X86_64 LibreOffice_project/47eb0cf7efbacdee9b19ae25d6752381ede23126</Application>
  <AppVersion>15.0000</AppVersion>
  <Pages>13</Pages>
  <Words>2921</Words>
  <Characters>16373</Characters>
  <CharactersWithSpaces>19031</CharactersWithSpaces>
  <Paragraphs>267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2021-11-19T10:11:00Z</dcterms:created>
  <dc:creator>Microsoft Office User</dc:creator>
  <dc:description/>
  <dc:language>es-ES</dc:language>
  <cp:lastModifiedBy/>
  <cp:lastPrinted>2019-06-18T15:52:00Z</cp:lastPrinted>
  <dcterms:modified xsi:type="dcterms:W3CDTF">2025-05-06T09:40:11Z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